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284" w:hanging="432"/>
        <w:jc w:val="center"/>
        <w:rPr>
          <w:b/>
          <w:color w:val="2F5496"/>
          <w:sz w:val="48"/>
          <w:szCs w:val="48"/>
        </w:rPr>
      </w:pPr>
      <w:r>
        <w:rPr>
          <w:b/>
          <w:color w:val="2F5496"/>
          <w:sz w:val="48"/>
          <w:szCs w:val="48"/>
        </w:rPr>
        <w:t>YEŞİLYURT DEMİR ÇELİK MESLEK YÜKSEKOKULU</w:t>
      </w:r>
    </w:p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-426" w:hanging="432"/>
        <w:jc w:val="center"/>
        <w:rPr>
          <w:b/>
          <w:color w:val="2F5496"/>
          <w:sz w:val="48"/>
          <w:szCs w:val="48"/>
        </w:rPr>
      </w:pPr>
    </w:p>
    <w:p w:rsidR="00590C27" w:rsidRDefault="002270AB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142" w:hanging="432"/>
        <w:jc w:val="center"/>
        <w:rPr>
          <w:b/>
          <w:color w:val="2F5496"/>
          <w:sz w:val="48"/>
          <w:szCs w:val="48"/>
        </w:rPr>
      </w:pPr>
      <w:r>
        <w:rPr>
          <w:b/>
          <w:color w:val="2F5496"/>
          <w:sz w:val="48"/>
          <w:szCs w:val="48"/>
        </w:rPr>
        <w:t xml:space="preserve">Motorlu Araç. </w:t>
      </w:r>
      <w:proofErr w:type="gramStart"/>
      <w:r>
        <w:rPr>
          <w:b/>
          <w:color w:val="2F5496"/>
          <w:sz w:val="48"/>
          <w:szCs w:val="48"/>
        </w:rPr>
        <w:t>ve</w:t>
      </w:r>
      <w:proofErr w:type="gramEnd"/>
      <w:r>
        <w:rPr>
          <w:b/>
          <w:color w:val="2F5496"/>
          <w:sz w:val="48"/>
          <w:szCs w:val="48"/>
        </w:rPr>
        <w:t xml:space="preserve"> Ulaş. Tek. / Otomotiv</w:t>
      </w:r>
      <w:bookmarkStart w:id="0" w:name="_GoBack"/>
      <w:bookmarkEnd w:id="0"/>
    </w:p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-426" w:hanging="432"/>
        <w:jc w:val="center"/>
        <w:rPr>
          <w:b/>
          <w:color w:val="2F5496"/>
          <w:sz w:val="48"/>
          <w:szCs w:val="48"/>
        </w:rPr>
      </w:pPr>
    </w:p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-426" w:hanging="432"/>
        <w:jc w:val="center"/>
        <w:rPr>
          <w:b/>
          <w:color w:val="2F5496"/>
          <w:sz w:val="48"/>
          <w:szCs w:val="48"/>
        </w:rPr>
      </w:pPr>
    </w:p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142" w:hanging="432"/>
        <w:jc w:val="center"/>
        <w:rPr>
          <w:b/>
          <w:color w:val="2F5496"/>
          <w:sz w:val="48"/>
          <w:szCs w:val="48"/>
        </w:rPr>
      </w:pPr>
      <w:r>
        <w:rPr>
          <w:b/>
          <w:color w:val="2F5496"/>
          <w:sz w:val="48"/>
          <w:szCs w:val="48"/>
        </w:rPr>
        <w:t>İşletme Yönetimi</w:t>
      </w:r>
    </w:p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-426" w:hanging="432"/>
        <w:jc w:val="center"/>
        <w:rPr>
          <w:b/>
          <w:color w:val="2F5496"/>
          <w:sz w:val="48"/>
          <w:szCs w:val="48"/>
        </w:rPr>
      </w:pPr>
    </w:p>
    <w:p w:rsidR="004C5C80" w:rsidRDefault="004C5C80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142" w:hanging="432"/>
        <w:jc w:val="center"/>
        <w:rPr>
          <w:b/>
          <w:color w:val="2F5496"/>
          <w:sz w:val="48"/>
          <w:szCs w:val="48"/>
        </w:rPr>
      </w:pPr>
      <w:r w:rsidRPr="004C5C80">
        <w:rPr>
          <w:b/>
          <w:color w:val="2F5496"/>
          <w:sz w:val="48"/>
          <w:szCs w:val="48"/>
        </w:rPr>
        <w:t>Yatırım Alternatiflerini Değerlendirerek En Uygun Olanını Seçmek</w:t>
      </w:r>
    </w:p>
    <w:p w:rsidR="00590C27" w:rsidRDefault="004C5C80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142" w:hanging="432"/>
        <w:jc w:val="center"/>
        <w:rPr>
          <w:b/>
          <w:color w:val="2F5496"/>
          <w:sz w:val="48"/>
          <w:szCs w:val="48"/>
        </w:rPr>
      </w:pPr>
      <w:r>
        <w:rPr>
          <w:b/>
          <w:color w:val="2F5496"/>
          <w:sz w:val="48"/>
          <w:szCs w:val="48"/>
        </w:rPr>
        <w:t>4</w:t>
      </w:r>
      <w:r w:rsidR="00590C27">
        <w:rPr>
          <w:b/>
          <w:color w:val="2F5496"/>
          <w:sz w:val="48"/>
          <w:szCs w:val="48"/>
        </w:rPr>
        <w:t>. Hafta</w:t>
      </w:r>
    </w:p>
    <w:p w:rsidR="00590C27" w:rsidRDefault="00590C27" w:rsidP="00476EC5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590C27" w:rsidRDefault="00590C27" w:rsidP="00476EC5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HUKUKİ AÇIDAN İŞLETME ÇEŞİTLERİ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TTK’ ya göre “ticarethane veya fabrika yahut ticari şekilde işletilen diğer müesseseler ticari işletme sayılır.” Ticaret sicili tüzüğüne göre(TST’ ye göre):Ticari işletme gelir sağlamak amacıyla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kurulmuş,devamlılığı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ve bağımsızlığı olan esnaf faaliyetlerini aşmış müesseselerdir.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Bir işletmeyi kısmen dahi olsa kendi adına işleten kimseye(gerçek veya tüzel kişi) tacir denir.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Özel işletmeler: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Tek kişi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işletmeleri:İşletmenin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sahibi aynı zamanda tek yetkili ve sorumlu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kişidir.Her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türlü işletme faaliyetiyle ilgili kararı kendisi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alır,uygular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ve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denetler.Tüm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karlar ve riskler ona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aittir.İşletmenin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tüzel kişiliği yoktur.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Şirketler(ortaklıklar):Bir işletmenin şirket sayılabilmesi için şu özelliklere sahip olması gerekir: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Şirketi kuranların sayısı birden fazla olmalıdır.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Ortak bir amaç bulunmalıdır.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Ortak amaca ulaşmak için ortaklar arasında bir anlaşma bulunmalıdır.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         Belirlenen hedefe ulaşmak için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para,mal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veya emek sermaye olarak konmalıdır.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Adi şirketler(ortaklıklar):BK’ ya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göre;bir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şirket TTK’ da tanımlanan şirketlerin ayırt edici niteliklerini taşımıyor ise adi şirket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sayılır.Adi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şirketlerde ticaret şirketlerinden farklı olarak şirket sözleşmesi şekle bağlı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değildir;sözlü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veya yazılı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olabilir.Açık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ya da kapalı anlaşma ile adi şirket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kurulabilir.Şirketin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onu oluşturan kişilerden ayrı bir kişiliği yoktur.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Şirket kazançları ve zararları ortaklar arasında belirlenen oranlarda veya eşit olarak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dağıtılır.Her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ortağın sorumluluğu sınırsız olup tüm şirket borçlarından kişisel varlığı ile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sorumludur.Her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ortağın yönetim yetkisi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vardır,ama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yönetim bir veya birkaç ortağa bırakılabilir.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Ticaret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şirketleri:Adi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şirketlerden farklı olarak şirket sözleşmesi yazılı olmak ve bu kanunun bulunmasını istediği asgari unsurları taşımak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zorundadır.Bu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şirketlerde adi şirketlerden farklı olarak şirketin tüzel kişiliği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olabilir.İki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ana gruba ayrılır: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Şahıs şirketleri(Kolektif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şirketler,komandit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şirketler):Kuruluş ve faaliyetler süresince ortakların kendi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varlıklarının,yeteneklerinin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ve kredilerinin büyük önemi vardır.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Sermaye şirketleri(Anonim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şirketler,limited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şirketler,sermayesi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paylara bölünmüş komandit şirketler):Birer sermaye teşkilatlandırılması şeklindeki yapılardır.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Kollektif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şirketler:Her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ortağın işletme faaliyetlerinden doğan borçlardan kendi koyduğu sermaye ile sınırlı olarak değil tüm varlıklarıyla sınırsız ve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müteselsilen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sorumlu olduğu şirket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türüdür.Ancak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şirket borçlarında dolayı öncelikle şirketin kendisi sorumludur.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Kollektif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şirket,ancak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gerçek kişilerce kurulur ve bütün ortaklar tarafından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yönetilir.Ana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sözleşme ile yönetim bir veya birkaç ortağa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bırakılabilir.Şirketin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sermaye gücü ortakların varlıklarına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bağlıdır.Kazançlar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şirket sözleşmesinde belirtilen biçimde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dağıtılır.Ortaklar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arasında değişiklik yapılması zorlaştırılmıştır.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Komandit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şirketler:Ticari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bir işletmeyi bir ticaret unvanı altında işletmek amacıyla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kurulan,şirket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alacaklılarına karşı ortaklardan bir </w:t>
      </w: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veya birkaçının sorumluluğu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sınırlandırılmamış,diğer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ortak veya ortakların sorumluluğu belirli bir sermaye ile sınırlandırılmış olan şirket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türüdür.Bu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tür şirkette komandite ortak sınırsız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sorumlu,komanditer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ortak ise sınırlı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sorumludur.Komandite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ortaklar gerçek kişi olmalıdır ve bunlar yönetime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hakimdirler.Komanditer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ortaklar tüzel kişi olabilir ve taahhüt ettikleri sermaye payı ile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sorumludurlar.Sermaye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paylarına göre kar payı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alırlar,şirketin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yıl sonu hesaplarını denetleyebilirler.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Anonim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şirketler:Bir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unvana sahip ana sermayesi belli ve paylara bölünmüş olan ve borçlarından dolayı yalnız varlıkları ile sorumlu bulunan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şirkettir.Ortakların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sorumluluğu taahhüt ettikleri sermaye payları ile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sınırlıdır.Buna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karşılık şirket alacaklılarına karşı tüm varlığı ile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sorumludur.Bir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anonim şirketin kurulabilmesi için en az 5 ortağın olması zorunludur.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Anonim şirketlerin kuruluşu iki türlüdür: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Ani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kuruluş:Sermayenin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tamamının kurucular tarafından taahhüt edildiği kuruluş türüdür.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Tedrici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kuruluş:Sermayenin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en az yüzde 10’ unun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kurulurca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taahhüt edilmesi ve geri kalanının halka satış yoluyla tamamlanmasıdır.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Anonim şirketi kural olarak pay sahiplerinin oluşturduğu genel kurulun seçtiği(veya bazen ana sözleşme ile belirlenen) en az üç kişiden oluşan yönetim kurulu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yönetir.Yönetim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kurulu pay sahibi üyelerden seçilir veya pay sahibi üyelerden seçilmişse pay sahibi sıfatını kazanınca işe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başlayabilir.Ayrıca,yönetim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ve uygulama için yönetim kuruluna bağlı olarak çalışan ana sözleşme veya genel kurulca veya yönetim kurulunca seçilen bir şirket müdürü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atanır.Şirket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müdürleri ve diğer müdürler yönetim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kuruluna,hisse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sahiplerine ve alacaklılara karşı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sorumludurlar.Yönetim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kurulu ise pay sahiplerine ve şirket alacaklılarına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müteselsilen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sorumludurlar.Anonim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şirketlerin denetimi de en az bir en çok beş kişiden oluşan denetçiler tarafından yapılır.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Üstünlükleri: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Ortakların sorumlulukları payları ile sınırlıdır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Yönetim çoğu kez profesyonel yöneticilere bırakılır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Şirketin veya payların devri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kolaydır,şirket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uzun süre yaşayabilir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         Büyüme yeteneği fazladır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Büyüklüğün çeşitli avantajlarına sahiptir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Sakıncaları: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Kuruluş işlemleri karmaşıktır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Hareket serbestisi sınırlı olup kanun hükümleri ve formaliteler fazladır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Özel durumlarda kredi bulma güçlüğü olabilir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Yönetimi daha güçtür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Limited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şirketler:İki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veya daha çok gerçek veya tüzel kişi tarafından bir ticaret unvanı altında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kurulup,ortaklarının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sorumluluğu koymayı taahhüt ettikleri sermaye ile sınırlı ve ana sermayesi belirli şirket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türüdür.Ortaklarının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sayısı en az 2 en çok 50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olabilir.Hisse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senedi çıkarma yetkisi yoktur.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Sermayesi paylara bölünmüş komandit </w:t>
      </w:r>
      <w:proofErr w:type="spellStart"/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şirketler:Sermayesi</w:t>
      </w:r>
      <w:proofErr w:type="spellEnd"/>
      <w:proofErr w:type="gram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paylara bölünen ve ortaklardan bir veya bir kaçının şirket alacaklarına karşı komandite ortak sorumluluğuna sahip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olduğu,diğerlerinin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komanditer ortak sorumluluğuna sahip olduğu şirket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türüdür.Ortak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sayısı hiç olmazsa biri komandite olmak şartıyla 5’tir.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</w:t>
      </w:r>
    </w:p>
    <w:p w:rsidR="004C5C80" w:rsidRPr="004C5C80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76EC5" w:rsidRPr="00476EC5" w:rsidRDefault="004C5C80" w:rsidP="004C5C80">
      <w:pPr>
        <w:spacing w:line="360" w:lineRule="auto"/>
        <w:ind w:left="142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Kooperatifler:Tüzel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kişiliği haiz olmak üzere ortakların ekonomik menfaatlerini ve özellikle meslek ve geçimlerine ait ihtiyaçlarını karşılıklı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yardım,dayanışma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ve kefalet suretiyle sağlayıp korumak amacıyla gerçek ve kamu tüzel kişileri ile mahalli idareler tarafından kurulan değişir ortaklı ve değişir sermayeli </w:t>
      </w:r>
      <w:proofErr w:type="spell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teşekküllerdir.Bir</w:t>
      </w:r>
      <w:proofErr w:type="spellEnd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kooperatif en az 7 ortak tarafından kurulur</w:t>
      </w:r>
      <w:proofErr w:type="gramStart"/>
      <w:r w:rsidRPr="004C5C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503C64" w:rsidRPr="00503C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</w:p>
    <w:sectPr w:rsidR="00476EC5" w:rsidRPr="0047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95" w:rsidRDefault="00B53A95" w:rsidP="00590C27">
      <w:pPr>
        <w:spacing w:after="0" w:line="240" w:lineRule="auto"/>
      </w:pPr>
      <w:r>
        <w:separator/>
      </w:r>
    </w:p>
  </w:endnote>
  <w:endnote w:type="continuationSeparator" w:id="0">
    <w:p w:rsidR="00B53A95" w:rsidRDefault="00B53A95" w:rsidP="0059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27" w:rsidRDefault="00590C27" w:rsidP="00590C2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000099"/>
      </w:rPr>
    </w:pPr>
  </w:p>
  <w:tbl>
    <w:tblPr>
      <w:tblW w:w="11341" w:type="dxa"/>
      <w:tblInd w:w="-14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61"/>
      <w:gridCol w:w="2268"/>
      <w:gridCol w:w="2268"/>
      <w:gridCol w:w="1985"/>
      <w:gridCol w:w="1559"/>
    </w:tblGrid>
    <w:tr w:rsidR="00590C27" w:rsidTr="00A72371">
      <w:tc>
        <w:tcPr>
          <w:tcW w:w="3261" w:type="dxa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2268" w:type="dxa"/>
          <w:tcBorders>
            <w:bottom w:val="single" w:sz="18" w:space="0" w:color="312783"/>
          </w:tcBorders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2268" w:type="dxa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3544" w:type="dxa"/>
          <w:gridSpan w:val="2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515CB3F4" wp14:editId="6C707333">
                <wp:extent cx="1231849" cy="252687"/>
                <wp:effectExtent l="0" t="0" r="0" b="0"/>
                <wp:docPr id="3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849" cy="2526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90C27" w:rsidTr="00A72371">
      <w:trPr>
        <w:trHeight w:val="340"/>
      </w:trPr>
      <w:tc>
        <w:tcPr>
          <w:tcW w:w="3261" w:type="dxa"/>
          <w:tcBorders>
            <w:top w:val="single" w:sz="18" w:space="0" w:color="312783"/>
          </w:tcBorders>
          <w:vAlign w:val="bottom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firstLine="34"/>
            <w:rPr>
              <w:rFonts w:ascii="Arial" w:eastAsia="Arial" w:hAnsi="Arial" w:cs="Arial"/>
              <w:color w:val="000099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color w:val="000099"/>
              <w:sz w:val="18"/>
              <w:szCs w:val="18"/>
            </w:rPr>
            <w:t>Kurupelit</w:t>
          </w:r>
          <w:proofErr w:type="spellEnd"/>
          <w:r>
            <w:rPr>
              <w:rFonts w:ascii="Arial" w:eastAsia="Arial" w:hAnsi="Arial" w:cs="Arial"/>
              <w:color w:val="000099"/>
              <w:sz w:val="18"/>
              <w:szCs w:val="18"/>
            </w:rPr>
            <w:t xml:space="preserve"> Kampüsü </w:t>
          </w:r>
          <w:proofErr w:type="gramStart"/>
          <w:r>
            <w:rPr>
              <w:rFonts w:ascii="Arial" w:eastAsia="Arial" w:hAnsi="Arial" w:cs="Arial"/>
              <w:color w:val="000099"/>
              <w:sz w:val="18"/>
              <w:szCs w:val="18"/>
            </w:rPr>
            <w:t>55139  SAMSUN</w:t>
          </w:r>
          <w:proofErr w:type="gramEnd"/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firstLine="182"/>
            <w:jc w:val="center"/>
            <w:rPr>
              <w:rFonts w:ascii="Arial" w:eastAsia="Arial" w:hAnsi="Arial" w:cs="Arial"/>
              <w:color w:val="000099"/>
              <w:sz w:val="18"/>
              <w:szCs w:val="18"/>
            </w:rPr>
          </w:pPr>
          <w:r>
            <w:rPr>
              <w:rFonts w:ascii="Arial" w:eastAsia="Arial" w:hAnsi="Arial" w:cs="Arial"/>
              <w:color w:val="000099"/>
              <w:sz w:val="18"/>
              <w:szCs w:val="18"/>
            </w:rPr>
            <w:t>Tel: +90 362 312 19 19</w:t>
          </w:r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000099"/>
              <w:sz w:val="18"/>
              <w:szCs w:val="18"/>
            </w:rPr>
          </w:pPr>
          <w:r>
            <w:rPr>
              <w:rFonts w:ascii="Arial" w:eastAsia="Arial" w:hAnsi="Arial" w:cs="Arial"/>
              <w:color w:val="000099"/>
              <w:sz w:val="18"/>
              <w:szCs w:val="18"/>
            </w:rPr>
            <w:t xml:space="preserve"> Faks: +90 362 457 60 91 </w:t>
          </w:r>
        </w:p>
      </w:tc>
      <w:tc>
        <w:tcPr>
          <w:tcW w:w="1985" w:type="dxa"/>
          <w:tcBorders>
            <w:top w:val="single" w:sz="18" w:space="0" w:color="312783"/>
          </w:tcBorders>
          <w:vAlign w:val="bottom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firstLine="172"/>
            <w:jc w:val="center"/>
            <w:rPr>
              <w:rFonts w:ascii="Arial" w:eastAsia="Arial" w:hAnsi="Arial" w:cs="Arial"/>
              <w:color w:val="000099"/>
              <w:sz w:val="18"/>
              <w:szCs w:val="18"/>
            </w:rPr>
          </w:pPr>
          <w:r>
            <w:rPr>
              <w:rFonts w:ascii="Arial" w:eastAsia="Arial" w:hAnsi="Arial" w:cs="Arial"/>
              <w:color w:val="000099"/>
              <w:sz w:val="18"/>
              <w:szCs w:val="18"/>
            </w:rPr>
            <w:t xml:space="preserve">iletisim@omu.edu.tr </w:t>
          </w:r>
        </w:p>
      </w:tc>
      <w:tc>
        <w:tcPr>
          <w:tcW w:w="1559" w:type="dxa"/>
          <w:tcBorders>
            <w:top w:val="single" w:sz="18" w:space="0" w:color="312783"/>
          </w:tcBorders>
          <w:vAlign w:val="bottom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firstLine="37"/>
            <w:jc w:val="right"/>
            <w:rPr>
              <w:rFonts w:ascii="Arial" w:eastAsia="Arial" w:hAnsi="Arial" w:cs="Arial"/>
              <w:color w:val="000099"/>
              <w:sz w:val="18"/>
              <w:szCs w:val="18"/>
            </w:rPr>
          </w:pPr>
          <w:r>
            <w:rPr>
              <w:rFonts w:ascii="Arial" w:eastAsia="Arial" w:hAnsi="Arial" w:cs="Arial"/>
              <w:color w:val="000099"/>
              <w:sz w:val="18"/>
              <w:szCs w:val="18"/>
            </w:rPr>
            <w:t>www.omu.edu.tr</w:t>
          </w:r>
        </w:p>
      </w:tc>
    </w:tr>
  </w:tbl>
  <w:p w:rsidR="00590C27" w:rsidRDefault="00590C27" w:rsidP="00590C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:rsidR="00590C27" w:rsidRDefault="00590C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95" w:rsidRDefault="00B53A95" w:rsidP="00590C27">
      <w:pPr>
        <w:spacing w:after="0" w:line="240" w:lineRule="auto"/>
      </w:pPr>
      <w:r>
        <w:separator/>
      </w:r>
    </w:p>
  </w:footnote>
  <w:footnote w:type="continuationSeparator" w:id="0">
    <w:p w:rsidR="00B53A95" w:rsidRDefault="00B53A95" w:rsidP="0059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27" w:rsidRPr="00590C27" w:rsidRDefault="00590C27" w:rsidP="00590C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hidden="0" allowOverlap="1" wp14:anchorId="4F8385C0" wp14:editId="03AF05DF">
          <wp:simplePos x="0" y="0"/>
          <wp:positionH relativeFrom="column">
            <wp:posOffset>-1142999</wp:posOffset>
          </wp:positionH>
          <wp:positionV relativeFrom="paragraph">
            <wp:posOffset>-449579</wp:posOffset>
          </wp:positionV>
          <wp:extent cx="7551420" cy="1040765"/>
          <wp:effectExtent l="0" t="0" r="0" b="0"/>
          <wp:wrapSquare wrapText="bothSides" distT="0" distB="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20" cy="104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0C27" w:rsidRDefault="00590C27" w:rsidP="00590C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b/>
        <w:color w:val="000099"/>
      </w:rPr>
    </w:pPr>
    <w:r>
      <w:rPr>
        <w:rFonts w:ascii="Arial" w:eastAsia="Arial" w:hAnsi="Arial" w:cs="Arial"/>
        <w:b/>
        <w:color w:val="000099"/>
      </w:rPr>
      <w:t>T.C.</w:t>
    </w:r>
  </w:p>
  <w:p w:rsidR="00590C27" w:rsidRDefault="00590C27" w:rsidP="00590C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b/>
        <w:color w:val="000099"/>
      </w:rPr>
    </w:pPr>
    <w:r>
      <w:rPr>
        <w:rFonts w:ascii="Arial" w:eastAsia="Arial" w:hAnsi="Arial" w:cs="Arial"/>
        <w:b/>
        <w:color w:val="000099"/>
      </w:rPr>
      <w:t>ONDOKUZ MAYIS ÜNİVERSİTESİ</w:t>
    </w:r>
  </w:p>
  <w:p w:rsidR="00590C27" w:rsidRDefault="00590C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5744"/>
    <w:multiLevelType w:val="multilevel"/>
    <w:tmpl w:val="19E6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D6"/>
    <w:rsid w:val="00002727"/>
    <w:rsid w:val="00005B95"/>
    <w:rsid w:val="00010E7B"/>
    <w:rsid w:val="00017486"/>
    <w:rsid w:val="0006172D"/>
    <w:rsid w:val="000653B3"/>
    <w:rsid w:val="00073707"/>
    <w:rsid w:val="00087649"/>
    <w:rsid w:val="0009181C"/>
    <w:rsid w:val="00091D0D"/>
    <w:rsid w:val="00097158"/>
    <w:rsid w:val="000973AE"/>
    <w:rsid w:val="000A1E63"/>
    <w:rsid w:val="000A6DBD"/>
    <w:rsid w:val="000A72CE"/>
    <w:rsid w:val="000B376C"/>
    <w:rsid w:val="000B45BB"/>
    <w:rsid w:val="000C0BD9"/>
    <w:rsid w:val="000C4E03"/>
    <w:rsid w:val="000D39DC"/>
    <w:rsid w:val="000E4DDB"/>
    <w:rsid w:val="000E7323"/>
    <w:rsid w:val="000F0DB5"/>
    <w:rsid w:val="000F2648"/>
    <w:rsid w:val="000F547D"/>
    <w:rsid w:val="0011647B"/>
    <w:rsid w:val="00120473"/>
    <w:rsid w:val="0012123A"/>
    <w:rsid w:val="00136339"/>
    <w:rsid w:val="001418E9"/>
    <w:rsid w:val="0014205A"/>
    <w:rsid w:val="0014754C"/>
    <w:rsid w:val="00147DA6"/>
    <w:rsid w:val="00154853"/>
    <w:rsid w:val="00156E4D"/>
    <w:rsid w:val="001727DD"/>
    <w:rsid w:val="00181347"/>
    <w:rsid w:val="001832D6"/>
    <w:rsid w:val="00187BC4"/>
    <w:rsid w:val="001A18F1"/>
    <w:rsid w:val="001A1A3E"/>
    <w:rsid w:val="001A407F"/>
    <w:rsid w:val="001A62DC"/>
    <w:rsid w:val="001A6DFA"/>
    <w:rsid w:val="001C0E33"/>
    <w:rsid w:val="001C135B"/>
    <w:rsid w:val="001C1E93"/>
    <w:rsid w:val="001C7EAA"/>
    <w:rsid w:val="001D442A"/>
    <w:rsid w:val="001E171A"/>
    <w:rsid w:val="001E7678"/>
    <w:rsid w:val="001F14BD"/>
    <w:rsid w:val="0020548D"/>
    <w:rsid w:val="0021437A"/>
    <w:rsid w:val="002270AB"/>
    <w:rsid w:val="0023329C"/>
    <w:rsid w:val="00242355"/>
    <w:rsid w:val="00243AC8"/>
    <w:rsid w:val="0027764C"/>
    <w:rsid w:val="002802F6"/>
    <w:rsid w:val="00280E6C"/>
    <w:rsid w:val="002B6F9B"/>
    <w:rsid w:val="002E3EDF"/>
    <w:rsid w:val="002E4C6E"/>
    <w:rsid w:val="00301462"/>
    <w:rsid w:val="00303C84"/>
    <w:rsid w:val="00316122"/>
    <w:rsid w:val="0032113A"/>
    <w:rsid w:val="00321FA2"/>
    <w:rsid w:val="00322DF2"/>
    <w:rsid w:val="00324888"/>
    <w:rsid w:val="003372F7"/>
    <w:rsid w:val="00337A9E"/>
    <w:rsid w:val="003466E7"/>
    <w:rsid w:val="003523F1"/>
    <w:rsid w:val="003568B0"/>
    <w:rsid w:val="00362B02"/>
    <w:rsid w:val="00363D20"/>
    <w:rsid w:val="003657A1"/>
    <w:rsid w:val="003678C6"/>
    <w:rsid w:val="00373B31"/>
    <w:rsid w:val="003748CB"/>
    <w:rsid w:val="003875FB"/>
    <w:rsid w:val="003953F9"/>
    <w:rsid w:val="003B46A1"/>
    <w:rsid w:val="003B4700"/>
    <w:rsid w:val="003D3E25"/>
    <w:rsid w:val="003D4FBF"/>
    <w:rsid w:val="003D749C"/>
    <w:rsid w:val="003F4AD0"/>
    <w:rsid w:val="004118BF"/>
    <w:rsid w:val="00417614"/>
    <w:rsid w:val="00420FB1"/>
    <w:rsid w:val="004314F7"/>
    <w:rsid w:val="004332AD"/>
    <w:rsid w:val="00451F75"/>
    <w:rsid w:val="00460A70"/>
    <w:rsid w:val="00466DEE"/>
    <w:rsid w:val="00472F0A"/>
    <w:rsid w:val="00476D55"/>
    <w:rsid w:val="00476EC5"/>
    <w:rsid w:val="00490E80"/>
    <w:rsid w:val="00491FAA"/>
    <w:rsid w:val="00494222"/>
    <w:rsid w:val="004A1EDC"/>
    <w:rsid w:val="004C5C80"/>
    <w:rsid w:val="004D322E"/>
    <w:rsid w:val="004D3515"/>
    <w:rsid w:val="004D416F"/>
    <w:rsid w:val="004D4AC0"/>
    <w:rsid w:val="004E6EC8"/>
    <w:rsid w:val="004F6279"/>
    <w:rsid w:val="004F7086"/>
    <w:rsid w:val="005026A8"/>
    <w:rsid w:val="00503C64"/>
    <w:rsid w:val="00512703"/>
    <w:rsid w:val="00513055"/>
    <w:rsid w:val="00516163"/>
    <w:rsid w:val="00521A8C"/>
    <w:rsid w:val="00534E16"/>
    <w:rsid w:val="00534FE3"/>
    <w:rsid w:val="00547B84"/>
    <w:rsid w:val="00550D9B"/>
    <w:rsid w:val="00553106"/>
    <w:rsid w:val="00557508"/>
    <w:rsid w:val="00583E86"/>
    <w:rsid w:val="005875CD"/>
    <w:rsid w:val="00590C27"/>
    <w:rsid w:val="005937AF"/>
    <w:rsid w:val="00595752"/>
    <w:rsid w:val="005A43B6"/>
    <w:rsid w:val="005B3A80"/>
    <w:rsid w:val="005B4928"/>
    <w:rsid w:val="005F1FE0"/>
    <w:rsid w:val="00604618"/>
    <w:rsid w:val="00606FE2"/>
    <w:rsid w:val="00611EA3"/>
    <w:rsid w:val="006206E6"/>
    <w:rsid w:val="006227FE"/>
    <w:rsid w:val="0063737A"/>
    <w:rsid w:val="00637BF1"/>
    <w:rsid w:val="006405C9"/>
    <w:rsid w:val="00640F65"/>
    <w:rsid w:val="0064235C"/>
    <w:rsid w:val="00660C7E"/>
    <w:rsid w:val="00661CBF"/>
    <w:rsid w:val="006827EA"/>
    <w:rsid w:val="006A2F92"/>
    <w:rsid w:val="006A3614"/>
    <w:rsid w:val="006C24AE"/>
    <w:rsid w:val="006D7207"/>
    <w:rsid w:val="006E5AA4"/>
    <w:rsid w:val="006F009F"/>
    <w:rsid w:val="0072052D"/>
    <w:rsid w:val="0073485D"/>
    <w:rsid w:val="00737461"/>
    <w:rsid w:val="00743C24"/>
    <w:rsid w:val="0074716E"/>
    <w:rsid w:val="00753BC7"/>
    <w:rsid w:val="0075580F"/>
    <w:rsid w:val="0076114E"/>
    <w:rsid w:val="007707AA"/>
    <w:rsid w:val="00773BA6"/>
    <w:rsid w:val="007749E0"/>
    <w:rsid w:val="0078016E"/>
    <w:rsid w:val="0078559C"/>
    <w:rsid w:val="007939A4"/>
    <w:rsid w:val="007A3738"/>
    <w:rsid w:val="007B0FA5"/>
    <w:rsid w:val="007C0830"/>
    <w:rsid w:val="007C2EBD"/>
    <w:rsid w:val="007C3FDD"/>
    <w:rsid w:val="007C7677"/>
    <w:rsid w:val="007C7C0E"/>
    <w:rsid w:val="007E00E8"/>
    <w:rsid w:val="007E1CFF"/>
    <w:rsid w:val="007E3EE6"/>
    <w:rsid w:val="007E4107"/>
    <w:rsid w:val="007E54E2"/>
    <w:rsid w:val="007F3D57"/>
    <w:rsid w:val="007F79CE"/>
    <w:rsid w:val="00802017"/>
    <w:rsid w:val="00807A28"/>
    <w:rsid w:val="00813765"/>
    <w:rsid w:val="008144F7"/>
    <w:rsid w:val="00837579"/>
    <w:rsid w:val="008620C9"/>
    <w:rsid w:val="008631A7"/>
    <w:rsid w:val="0087119A"/>
    <w:rsid w:val="00884BB3"/>
    <w:rsid w:val="008A2C2A"/>
    <w:rsid w:val="008B2990"/>
    <w:rsid w:val="008C0C67"/>
    <w:rsid w:val="008D0700"/>
    <w:rsid w:val="008E31DC"/>
    <w:rsid w:val="008F0C82"/>
    <w:rsid w:val="008F36F0"/>
    <w:rsid w:val="009038BF"/>
    <w:rsid w:val="00903BA0"/>
    <w:rsid w:val="009122AB"/>
    <w:rsid w:val="00920406"/>
    <w:rsid w:val="00921719"/>
    <w:rsid w:val="00924731"/>
    <w:rsid w:val="00934022"/>
    <w:rsid w:val="00943C4F"/>
    <w:rsid w:val="009465FC"/>
    <w:rsid w:val="009514F3"/>
    <w:rsid w:val="00957CA0"/>
    <w:rsid w:val="00962315"/>
    <w:rsid w:val="00976318"/>
    <w:rsid w:val="00980136"/>
    <w:rsid w:val="009A1F3F"/>
    <w:rsid w:val="009A5129"/>
    <w:rsid w:val="009B70F7"/>
    <w:rsid w:val="009C4144"/>
    <w:rsid w:val="009D495C"/>
    <w:rsid w:val="009E2C9C"/>
    <w:rsid w:val="009E4F50"/>
    <w:rsid w:val="009E51E0"/>
    <w:rsid w:val="009F1B60"/>
    <w:rsid w:val="009F41E7"/>
    <w:rsid w:val="00A005C8"/>
    <w:rsid w:val="00A01608"/>
    <w:rsid w:val="00A058C9"/>
    <w:rsid w:val="00A14E9F"/>
    <w:rsid w:val="00A20D39"/>
    <w:rsid w:val="00A23290"/>
    <w:rsid w:val="00A47A75"/>
    <w:rsid w:val="00A50598"/>
    <w:rsid w:val="00A618F2"/>
    <w:rsid w:val="00A659C9"/>
    <w:rsid w:val="00A73B40"/>
    <w:rsid w:val="00A763A7"/>
    <w:rsid w:val="00A774ED"/>
    <w:rsid w:val="00AA1311"/>
    <w:rsid w:val="00AA230A"/>
    <w:rsid w:val="00AB7935"/>
    <w:rsid w:val="00AC206B"/>
    <w:rsid w:val="00AE2A80"/>
    <w:rsid w:val="00B00F98"/>
    <w:rsid w:val="00B0669D"/>
    <w:rsid w:val="00B147B4"/>
    <w:rsid w:val="00B25D26"/>
    <w:rsid w:val="00B356B1"/>
    <w:rsid w:val="00B367A6"/>
    <w:rsid w:val="00B53A95"/>
    <w:rsid w:val="00B63C75"/>
    <w:rsid w:val="00B64A2F"/>
    <w:rsid w:val="00B73BC5"/>
    <w:rsid w:val="00B748EC"/>
    <w:rsid w:val="00B828D9"/>
    <w:rsid w:val="00B837A7"/>
    <w:rsid w:val="00B874B1"/>
    <w:rsid w:val="00B87C56"/>
    <w:rsid w:val="00B90135"/>
    <w:rsid w:val="00B92C53"/>
    <w:rsid w:val="00B94D38"/>
    <w:rsid w:val="00BD1F62"/>
    <w:rsid w:val="00BE55F7"/>
    <w:rsid w:val="00BE61B0"/>
    <w:rsid w:val="00BE7E2F"/>
    <w:rsid w:val="00C00AD6"/>
    <w:rsid w:val="00C05834"/>
    <w:rsid w:val="00C20DA9"/>
    <w:rsid w:val="00C30EE6"/>
    <w:rsid w:val="00C35B42"/>
    <w:rsid w:val="00C429C3"/>
    <w:rsid w:val="00C46129"/>
    <w:rsid w:val="00C56907"/>
    <w:rsid w:val="00C616B5"/>
    <w:rsid w:val="00C617BD"/>
    <w:rsid w:val="00C62E8B"/>
    <w:rsid w:val="00C72FFB"/>
    <w:rsid w:val="00C81DF3"/>
    <w:rsid w:val="00C9520F"/>
    <w:rsid w:val="00CA07DE"/>
    <w:rsid w:val="00CA0E7D"/>
    <w:rsid w:val="00CA46AE"/>
    <w:rsid w:val="00CA557B"/>
    <w:rsid w:val="00CB6C38"/>
    <w:rsid w:val="00CE2C47"/>
    <w:rsid w:val="00CF32C5"/>
    <w:rsid w:val="00CF673C"/>
    <w:rsid w:val="00CF6776"/>
    <w:rsid w:val="00CF7C59"/>
    <w:rsid w:val="00D0170B"/>
    <w:rsid w:val="00D03EB3"/>
    <w:rsid w:val="00D06174"/>
    <w:rsid w:val="00D31DA6"/>
    <w:rsid w:val="00D51A46"/>
    <w:rsid w:val="00D55732"/>
    <w:rsid w:val="00D73BC2"/>
    <w:rsid w:val="00D758ED"/>
    <w:rsid w:val="00D837BF"/>
    <w:rsid w:val="00D93989"/>
    <w:rsid w:val="00DA048C"/>
    <w:rsid w:val="00DB67DC"/>
    <w:rsid w:val="00DB6CF3"/>
    <w:rsid w:val="00DC01D2"/>
    <w:rsid w:val="00DC3038"/>
    <w:rsid w:val="00DE4B24"/>
    <w:rsid w:val="00DE7316"/>
    <w:rsid w:val="00DF601F"/>
    <w:rsid w:val="00E1734C"/>
    <w:rsid w:val="00E25315"/>
    <w:rsid w:val="00E276DC"/>
    <w:rsid w:val="00E32971"/>
    <w:rsid w:val="00E44E0A"/>
    <w:rsid w:val="00E60A1C"/>
    <w:rsid w:val="00E61005"/>
    <w:rsid w:val="00E63840"/>
    <w:rsid w:val="00E66E97"/>
    <w:rsid w:val="00E70963"/>
    <w:rsid w:val="00E74687"/>
    <w:rsid w:val="00E87E2B"/>
    <w:rsid w:val="00E934C7"/>
    <w:rsid w:val="00EB51CF"/>
    <w:rsid w:val="00EC08E2"/>
    <w:rsid w:val="00EE4B09"/>
    <w:rsid w:val="00F061BD"/>
    <w:rsid w:val="00F14755"/>
    <w:rsid w:val="00F15A0E"/>
    <w:rsid w:val="00F16F78"/>
    <w:rsid w:val="00F22D0D"/>
    <w:rsid w:val="00F27CEC"/>
    <w:rsid w:val="00F328FC"/>
    <w:rsid w:val="00F3789D"/>
    <w:rsid w:val="00F465C8"/>
    <w:rsid w:val="00F54726"/>
    <w:rsid w:val="00F54733"/>
    <w:rsid w:val="00F551D0"/>
    <w:rsid w:val="00F56C84"/>
    <w:rsid w:val="00F56F02"/>
    <w:rsid w:val="00F622D4"/>
    <w:rsid w:val="00F76EBC"/>
    <w:rsid w:val="00F772F7"/>
    <w:rsid w:val="00F901E1"/>
    <w:rsid w:val="00F95D7B"/>
    <w:rsid w:val="00FA4F3A"/>
    <w:rsid w:val="00FB062F"/>
    <w:rsid w:val="00FB0CEB"/>
    <w:rsid w:val="00FB3074"/>
    <w:rsid w:val="00FB33D1"/>
    <w:rsid w:val="00FC1E95"/>
    <w:rsid w:val="00FC22C3"/>
    <w:rsid w:val="00FD03AB"/>
    <w:rsid w:val="00FD2132"/>
    <w:rsid w:val="00FD4B88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39390-B349-4F75-8068-8EB46ED5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76E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0C27"/>
  </w:style>
  <w:style w:type="paragraph" w:styleId="Altbilgi">
    <w:name w:val="footer"/>
    <w:basedOn w:val="Normal"/>
    <w:link w:val="AltbilgiChar"/>
    <w:uiPriority w:val="99"/>
    <w:unhideWhenUsed/>
    <w:rsid w:val="0059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İlkılıç</dc:creator>
  <cp:keywords/>
  <dc:description/>
  <cp:lastModifiedBy>qqq</cp:lastModifiedBy>
  <cp:revision>2</cp:revision>
  <dcterms:created xsi:type="dcterms:W3CDTF">2020-01-15T14:29:00Z</dcterms:created>
  <dcterms:modified xsi:type="dcterms:W3CDTF">2020-01-15T14:29:00Z</dcterms:modified>
</cp:coreProperties>
</file>