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27" w:rsidRDefault="00590C27" w:rsidP="00590C27">
      <w:pPr>
        <w:keepNext/>
        <w:keepLines/>
        <w:pBdr>
          <w:top w:val="nil"/>
          <w:left w:val="nil"/>
          <w:bottom w:val="nil"/>
          <w:right w:val="nil"/>
          <w:between w:val="nil"/>
        </w:pBdr>
        <w:spacing w:before="240"/>
        <w:ind w:left="284" w:hanging="432"/>
        <w:jc w:val="center"/>
        <w:rPr>
          <w:b/>
          <w:color w:val="2F5496"/>
          <w:sz w:val="48"/>
          <w:szCs w:val="48"/>
        </w:rPr>
      </w:pPr>
      <w:r>
        <w:rPr>
          <w:b/>
          <w:color w:val="2F5496"/>
          <w:sz w:val="48"/>
          <w:szCs w:val="48"/>
        </w:rPr>
        <w:t>YEŞİLYURT DEMİR ÇELİK MESLEK YÜKSEKOKULU</w:t>
      </w:r>
    </w:p>
    <w:p w:rsidR="00590C27" w:rsidRDefault="00590C27" w:rsidP="00590C27">
      <w:pPr>
        <w:keepNext/>
        <w:keepLines/>
        <w:pBdr>
          <w:top w:val="nil"/>
          <w:left w:val="nil"/>
          <w:bottom w:val="nil"/>
          <w:right w:val="nil"/>
          <w:between w:val="nil"/>
        </w:pBdr>
        <w:spacing w:before="240"/>
        <w:ind w:left="-426" w:hanging="432"/>
        <w:jc w:val="center"/>
        <w:rPr>
          <w:b/>
          <w:color w:val="2F5496"/>
          <w:sz w:val="48"/>
          <w:szCs w:val="48"/>
        </w:rPr>
      </w:pPr>
    </w:p>
    <w:p w:rsidR="00590C27" w:rsidRDefault="00D0226C" w:rsidP="00590C27">
      <w:pPr>
        <w:keepNext/>
        <w:keepLines/>
        <w:pBdr>
          <w:top w:val="nil"/>
          <w:left w:val="nil"/>
          <w:bottom w:val="nil"/>
          <w:right w:val="nil"/>
          <w:between w:val="nil"/>
        </w:pBdr>
        <w:spacing w:after="0"/>
        <w:ind w:left="142" w:hanging="432"/>
        <w:jc w:val="center"/>
        <w:rPr>
          <w:b/>
          <w:color w:val="2F5496"/>
          <w:sz w:val="48"/>
          <w:szCs w:val="48"/>
        </w:rPr>
      </w:pPr>
      <w:r>
        <w:rPr>
          <w:b/>
          <w:color w:val="2F5496"/>
          <w:sz w:val="48"/>
          <w:szCs w:val="48"/>
        </w:rPr>
        <w:t xml:space="preserve">Motorlu Araç. </w:t>
      </w:r>
      <w:proofErr w:type="gramStart"/>
      <w:r>
        <w:rPr>
          <w:b/>
          <w:color w:val="2F5496"/>
          <w:sz w:val="48"/>
          <w:szCs w:val="48"/>
        </w:rPr>
        <w:t>ve</w:t>
      </w:r>
      <w:proofErr w:type="gramEnd"/>
      <w:r>
        <w:rPr>
          <w:b/>
          <w:color w:val="2F5496"/>
          <w:sz w:val="48"/>
          <w:szCs w:val="48"/>
        </w:rPr>
        <w:t xml:space="preserve"> Ulaş. Tek. / Otomotiv</w:t>
      </w:r>
    </w:p>
    <w:p w:rsidR="00590C27" w:rsidRDefault="00590C27" w:rsidP="00590C27">
      <w:pPr>
        <w:keepNext/>
        <w:keepLines/>
        <w:pBdr>
          <w:top w:val="nil"/>
          <w:left w:val="nil"/>
          <w:bottom w:val="nil"/>
          <w:right w:val="nil"/>
          <w:between w:val="nil"/>
        </w:pBdr>
        <w:spacing w:before="240"/>
        <w:ind w:left="-426" w:hanging="432"/>
        <w:jc w:val="center"/>
        <w:rPr>
          <w:b/>
          <w:color w:val="2F5496"/>
          <w:sz w:val="48"/>
          <w:szCs w:val="48"/>
        </w:rPr>
      </w:pPr>
      <w:bookmarkStart w:id="0" w:name="_GoBack"/>
      <w:bookmarkEnd w:id="0"/>
    </w:p>
    <w:p w:rsidR="00590C27" w:rsidRDefault="00590C27" w:rsidP="00590C27">
      <w:pPr>
        <w:keepNext/>
        <w:keepLines/>
        <w:pBdr>
          <w:top w:val="nil"/>
          <w:left w:val="nil"/>
          <w:bottom w:val="nil"/>
          <w:right w:val="nil"/>
          <w:between w:val="nil"/>
        </w:pBdr>
        <w:spacing w:before="240"/>
        <w:ind w:left="-426" w:hanging="432"/>
        <w:jc w:val="center"/>
        <w:rPr>
          <w:b/>
          <w:color w:val="2F5496"/>
          <w:sz w:val="48"/>
          <w:szCs w:val="48"/>
        </w:rPr>
      </w:pPr>
    </w:p>
    <w:p w:rsidR="00590C27" w:rsidRDefault="00590C27" w:rsidP="00590C27">
      <w:pPr>
        <w:keepNext/>
        <w:keepLines/>
        <w:pBdr>
          <w:top w:val="nil"/>
          <w:left w:val="nil"/>
          <w:bottom w:val="nil"/>
          <w:right w:val="nil"/>
          <w:between w:val="nil"/>
        </w:pBdr>
        <w:spacing w:before="240"/>
        <w:ind w:left="142" w:hanging="432"/>
        <w:jc w:val="center"/>
        <w:rPr>
          <w:b/>
          <w:color w:val="2F5496"/>
          <w:sz w:val="48"/>
          <w:szCs w:val="48"/>
        </w:rPr>
      </w:pPr>
      <w:r>
        <w:rPr>
          <w:b/>
          <w:color w:val="2F5496"/>
          <w:sz w:val="48"/>
          <w:szCs w:val="48"/>
        </w:rPr>
        <w:t>İşletme Yönetimi</w:t>
      </w:r>
    </w:p>
    <w:p w:rsidR="00590C27" w:rsidRDefault="00590C27" w:rsidP="00590C27">
      <w:pPr>
        <w:keepNext/>
        <w:keepLines/>
        <w:pBdr>
          <w:top w:val="nil"/>
          <w:left w:val="nil"/>
          <w:bottom w:val="nil"/>
          <w:right w:val="nil"/>
          <w:between w:val="nil"/>
        </w:pBdr>
        <w:spacing w:before="240"/>
        <w:ind w:left="-426" w:hanging="432"/>
        <w:jc w:val="center"/>
        <w:rPr>
          <w:b/>
          <w:color w:val="2F5496"/>
          <w:sz w:val="48"/>
          <w:szCs w:val="48"/>
        </w:rPr>
      </w:pPr>
    </w:p>
    <w:p w:rsidR="00CB2294" w:rsidRDefault="00CB2294" w:rsidP="00590C27">
      <w:pPr>
        <w:keepNext/>
        <w:keepLines/>
        <w:pBdr>
          <w:top w:val="nil"/>
          <w:left w:val="nil"/>
          <w:bottom w:val="nil"/>
          <w:right w:val="nil"/>
          <w:between w:val="nil"/>
        </w:pBdr>
        <w:spacing w:before="240"/>
        <w:ind w:left="142" w:hanging="432"/>
        <w:jc w:val="center"/>
        <w:rPr>
          <w:b/>
          <w:color w:val="2F5496"/>
          <w:sz w:val="48"/>
          <w:szCs w:val="48"/>
        </w:rPr>
      </w:pPr>
      <w:r w:rsidRPr="00CB2294">
        <w:rPr>
          <w:b/>
          <w:color w:val="2F5496"/>
          <w:sz w:val="48"/>
          <w:szCs w:val="48"/>
        </w:rPr>
        <w:t>Yapılabilirlik Çalışmalarını Yürütmek</w:t>
      </w:r>
    </w:p>
    <w:p w:rsidR="00CB2294" w:rsidRDefault="00CB2294" w:rsidP="00590C27">
      <w:pPr>
        <w:keepNext/>
        <w:keepLines/>
        <w:pBdr>
          <w:top w:val="nil"/>
          <w:left w:val="nil"/>
          <w:bottom w:val="nil"/>
          <w:right w:val="nil"/>
          <w:between w:val="nil"/>
        </w:pBdr>
        <w:spacing w:before="240"/>
        <w:ind w:left="142" w:hanging="432"/>
        <w:jc w:val="center"/>
        <w:rPr>
          <w:b/>
          <w:color w:val="2F5496"/>
          <w:sz w:val="48"/>
          <w:szCs w:val="48"/>
        </w:rPr>
      </w:pPr>
    </w:p>
    <w:p w:rsidR="00590C27" w:rsidRDefault="00CB2294" w:rsidP="00590C27">
      <w:pPr>
        <w:keepNext/>
        <w:keepLines/>
        <w:pBdr>
          <w:top w:val="nil"/>
          <w:left w:val="nil"/>
          <w:bottom w:val="nil"/>
          <w:right w:val="nil"/>
          <w:between w:val="nil"/>
        </w:pBdr>
        <w:spacing w:before="240"/>
        <w:ind w:left="142" w:hanging="432"/>
        <w:jc w:val="center"/>
        <w:rPr>
          <w:b/>
          <w:color w:val="2F5496"/>
          <w:sz w:val="48"/>
          <w:szCs w:val="48"/>
        </w:rPr>
      </w:pPr>
      <w:r>
        <w:rPr>
          <w:b/>
          <w:color w:val="2F5496"/>
          <w:sz w:val="48"/>
          <w:szCs w:val="48"/>
        </w:rPr>
        <w:t>5</w:t>
      </w:r>
      <w:r w:rsidR="00590C27">
        <w:rPr>
          <w:b/>
          <w:color w:val="2F5496"/>
          <w:sz w:val="48"/>
          <w:szCs w:val="48"/>
        </w:rPr>
        <w:t>. Hafta</w:t>
      </w:r>
    </w:p>
    <w:p w:rsidR="00590C27" w:rsidRDefault="00590C27" w:rsidP="00476EC5">
      <w:pPr>
        <w:spacing w:line="360" w:lineRule="auto"/>
        <w:ind w:firstLine="708"/>
        <w:jc w:val="center"/>
        <w:rPr>
          <w:rFonts w:ascii="Times New Roman" w:hAnsi="Times New Roman" w:cs="Times New Roman"/>
          <w:color w:val="FF0000"/>
          <w:sz w:val="44"/>
          <w:szCs w:val="44"/>
        </w:rPr>
      </w:pPr>
    </w:p>
    <w:p w:rsidR="00590C27" w:rsidRDefault="00590C27" w:rsidP="00476EC5">
      <w:pPr>
        <w:spacing w:line="360" w:lineRule="auto"/>
        <w:ind w:firstLine="708"/>
        <w:jc w:val="center"/>
        <w:rPr>
          <w:rFonts w:ascii="Times New Roman" w:hAnsi="Times New Roman" w:cs="Times New Roman"/>
          <w:color w:val="FF0000"/>
          <w:sz w:val="44"/>
          <w:szCs w:val="44"/>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lastRenderedPageBreak/>
        <w:t>Kamu işletmeleri</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 </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Katma bütçeli </w:t>
      </w:r>
      <w:proofErr w:type="spellStart"/>
      <w:proofErr w:type="gramStart"/>
      <w:r w:rsidRPr="00CB2294">
        <w:rPr>
          <w:rFonts w:ascii="Times New Roman" w:hAnsi="Times New Roman" w:cs="Times New Roman"/>
          <w:color w:val="000000"/>
          <w:sz w:val="24"/>
          <w:szCs w:val="24"/>
          <w:shd w:val="clear" w:color="auto" w:fill="FFFFFF"/>
        </w:rPr>
        <w:t>işletmeler:Bu</w:t>
      </w:r>
      <w:proofErr w:type="spellEnd"/>
      <w:proofErr w:type="gramEnd"/>
      <w:r w:rsidRPr="00CB2294">
        <w:rPr>
          <w:rFonts w:ascii="Times New Roman" w:hAnsi="Times New Roman" w:cs="Times New Roman"/>
          <w:color w:val="000000"/>
          <w:sz w:val="24"/>
          <w:szCs w:val="24"/>
          <w:shd w:val="clear" w:color="auto" w:fill="FFFFFF"/>
        </w:rPr>
        <w:t xml:space="preserve"> işletmelerin kendilerine bağlı gelir getiren işletmeleri </w:t>
      </w:r>
      <w:proofErr w:type="spellStart"/>
      <w:r w:rsidRPr="00CB2294">
        <w:rPr>
          <w:rFonts w:ascii="Times New Roman" w:hAnsi="Times New Roman" w:cs="Times New Roman"/>
          <w:color w:val="000000"/>
          <w:sz w:val="24"/>
          <w:szCs w:val="24"/>
          <w:shd w:val="clear" w:color="auto" w:fill="FFFFFF"/>
        </w:rPr>
        <w:t>vardır.Bu</w:t>
      </w:r>
      <w:proofErr w:type="spellEnd"/>
      <w:r w:rsidRPr="00CB2294">
        <w:rPr>
          <w:rFonts w:ascii="Times New Roman" w:hAnsi="Times New Roman" w:cs="Times New Roman"/>
          <w:color w:val="000000"/>
          <w:sz w:val="24"/>
          <w:szCs w:val="24"/>
          <w:shd w:val="clear" w:color="auto" w:fill="FFFFFF"/>
        </w:rPr>
        <w:t xml:space="preserve"> işletmelerin kendi tüzel kişilikleri </w:t>
      </w:r>
      <w:proofErr w:type="spellStart"/>
      <w:r w:rsidRPr="00CB2294">
        <w:rPr>
          <w:rFonts w:ascii="Times New Roman" w:hAnsi="Times New Roman" w:cs="Times New Roman"/>
          <w:color w:val="000000"/>
          <w:sz w:val="24"/>
          <w:szCs w:val="24"/>
          <w:shd w:val="clear" w:color="auto" w:fill="FFFFFF"/>
        </w:rPr>
        <w:t>yoktur.Sağladıkları</w:t>
      </w:r>
      <w:proofErr w:type="spellEnd"/>
      <w:r w:rsidRPr="00CB2294">
        <w:rPr>
          <w:rFonts w:ascii="Times New Roman" w:hAnsi="Times New Roman" w:cs="Times New Roman"/>
          <w:color w:val="000000"/>
          <w:sz w:val="24"/>
          <w:szCs w:val="24"/>
          <w:shd w:val="clear" w:color="auto" w:fill="FFFFFF"/>
        </w:rPr>
        <w:t xml:space="preserve"> gelir fazlası bütçeye gelir olarak </w:t>
      </w:r>
      <w:proofErr w:type="spellStart"/>
      <w:r w:rsidRPr="00CB2294">
        <w:rPr>
          <w:rFonts w:ascii="Times New Roman" w:hAnsi="Times New Roman" w:cs="Times New Roman"/>
          <w:color w:val="000000"/>
          <w:sz w:val="24"/>
          <w:szCs w:val="24"/>
          <w:shd w:val="clear" w:color="auto" w:fill="FFFFFF"/>
        </w:rPr>
        <w:t>kaydedilir.Tekel,devlet</w:t>
      </w:r>
      <w:proofErr w:type="spellEnd"/>
      <w:r w:rsidRPr="00CB2294">
        <w:rPr>
          <w:rFonts w:ascii="Times New Roman" w:hAnsi="Times New Roman" w:cs="Times New Roman"/>
          <w:color w:val="000000"/>
          <w:sz w:val="24"/>
          <w:szCs w:val="24"/>
          <w:shd w:val="clear" w:color="auto" w:fill="FFFFFF"/>
        </w:rPr>
        <w:t xml:space="preserve"> üretme </w:t>
      </w:r>
      <w:proofErr w:type="spellStart"/>
      <w:r w:rsidRPr="00CB2294">
        <w:rPr>
          <w:rFonts w:ascii="Times New Roman" w:hAnsi="Times New Roman" w:cs="Times New Roman"/>
          <w:color w:val="000000"/>
          <w:sz w:val="24"/>
          <w:szCs w:val="24"/>
          <w:shd w:val="clear" w:color="auto" w:fill="FFFFFF"/>
        </w:rPr>
        <w:t>çiftlikleri,karayolları</w:t>
      </w:r>
      <w:proofErr w:type="spellEnd"/>
      <w:r w:rsidRPr="00CB2294">
        <w:rPr>
          <w:rFonts w:ascii="Times New Roman" w:hAnsi="Times New Roman" w:cs="Times New Roman"/>
          <w:color w:val="000000"/>
          <w:sz w:val="24"/>
          <w:szCs w:val="24"/>
          <w:shd w:val="clear" w:color="auto" w:fill="FFFFFF"/>
        </w:rPr>
        <w:t xml:space="preserve"> ve üniversiteler örnek olarak verilebilir.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Döner sermayeli </w:t>
      </w:r>
      <w:proofErr w:type="spellStart"/>
      <w:proofErr w:type="gramStart"/>
      <w:r w:rsidRPr="00CB2294">
        <w:rPr>
          <w:rFonts w:ascii="Times New Roman" w:hAnsi="Times New Roman" w:cs="Times New Roman"/>
          <w:color w:val="000000"/>
          <w:sz w:val="24"/>
          <w:szCs w:val="24"/>
          <w:shd w:val="clear" w:color="auto" w:fill="FFFFFF"/>
        </w:rPr>
        <w:t>işletmeler:Genel</w:t>
      </w:r>
      <w:proofErr w:type="spellEnd"/>
      <w:proofErr w:type="gramEnd"/>
      <w:r w:rsidRPr="00CB2294">
        <w:rPr>
          <w:rFonts w:ascii="Times New Roman" w:hAnsi="Times New Roman" w:cs="Times New Roman"/>
          <w:color w:val="000000"/>
          <w:sz w:val="24"/>
          <w:szCs w:val="24"/>
          <w:shd w:val="clear" w:color="auto" w:fill="FFFFFF"/>
        </w:rPr>
        <w:t xml:space="preserve"> bütçeye bağlı dairelerin Bütçe kanunu ile verilen ödeneklerle kurulan işletmeleri olup yine tüzel kişilikleri </w:t>
      </w:r>
      <w:proofErr w:type="spellStart"/>
      <w:r w:rsidRPr="00CB2294">
        <w:rPr>
          <w:rFonts w:ascii="Times New Roman" w:hAnsi="Times New Roman" w:cs="Times New Roman"/>
          <w:color w:val="000000"/>
          <w:sz w:val="24"/>
          <w:szCs w:val="24"/>
          <w:shd w:val="clear" w:color="auto" w:fill="FFFFFF"/>
        </w:rPr>
        <w:t>yoktur.Sağlık</w:t>
      </w:r>
      <w:proofErr w:type="spellEnd"/>
      <w:r w:rsidRPr="00CB2294">
        <w:rPr>
          <w:rFonts w:ascii="Times New Roman" w:hAnsi="Times New Roman" w:cs="Times New Roman"/>
          <w:color w:val="000000"/>
          <w:sz w:val="24"/>
          <w:szCs w:val="24"/>
          <w:shd w:val="clear" w:color="auto" w:fill="FFFFFF"/>
        </w:rPr>
        <w:t xml:space="preserve"> bakanlığı </w:t>
      </w:r>
      <w:proofErr w:type="spellStart"/>
      <w:r w:rsidRPr="00CB2294">
        <w:rPr>
          <w:rFonts w:ascii="Times New Roman" w:hAnsi="Times New Roman" w:cs="Times New Roman"/>
          <w:color w:val="000000"/>
          <w:sz w:val="24"/>
          <w:szCs w:val="24"/>
          <w:shd w:val="clear" w:color="auto" w:fill="FFFFFF"/>
        </w:rPr>
        <w:t>hastaneleri,darphane</w:t>
      </w:r>
      <w:proofErr w:type="spellEnd"/>
      <w:r w:rsidRPr="00CB2294">
        <w:rPr>
          <w:rFonts w:ascii="Times New Roman" w:hAnsi="Times New Roman" w:cs="Times New Roman"/>
          <w:color w:val="000000"/>
          <w:sz w:val="24"/>
          <w:szCs w:val="24"/>
          <w:shd w:val="clear" w:color="auto" w:fill="FFFFFF"/>
        </w:rPr>
        <w:t xml:space="preserve"> ve damga matbaası örnektir.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Yerel yönetim(mahalli idare işletmeleri):Daha çok kamu ve belediye hizmetlerinin görülmesi bir kısım kamu mallarının işletilerek gelir sağlanması amaçlarını güderler.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Kamu iktisadi </w:t>
      </w:r>
      <w:proofErr w:type="spellStart"/>
      <w:proofErr w:type="gramStart"/>
      <w:r w:rsidRPr="00CB2294">
        <w:rPr>
          <w:rFonts w:ascii="Times New Roman" w:hAnsi="Times New Roman" w:cs="Times New Roman"/>
          <w:color w:val="000000"/>
          <w:sz w:val="24"/>
          <w:szCs w:val="24"/>
          <w:shd w:val="clear" w:color="auto" w:fill="FFFFFF"/>
        </w:rPr>
        <w:t>teşebbüsleri:İkili</w:t>
      </w:r>
      <w:proofErr w:type="spellEnd"/>
      <w:proofErr w:type="gramEnd"/>
      <w:r w:rsidRPr="00CB2294">
        <w:rPr>
          <w:rFonts w:ascii="Times New Roman" w:hAnsi="Times New Roman" w:cs="Times New Roman"/>
          <w:color w:val="000000"/>
          <w:sz w:val="24"/>
          <w:szCs w:val="24"/>
          <w:shd w:val="clear" w:color="auto" w:fill="FFFFFF"/>
        </w:rPr>
        <w:t xml:space="preserve"> bir ayrıma tabi tutulmuşlardır: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İktisadi devlet teşekkülleri(İDT)</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Kamu iktisadi kuruluşları(KİK)</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lastRenderedPageBreak/>
        <w:t xml:space="preserve"> </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İktisadi devlet teşekkülleri(İDT):Ekonomik gereklere uygun olarak “verimlilik” ve “karlılık” ilkeleri doğrultusunda kendi aralarında ve ulusal ekonomi ile uyum içinde çalışarak sermaye birikimine yardım etmeleri ve bu suretle daha fazla yatırım kaynağı yaratmaları gereken KİT </w:t>
      </w:r>
      <w:proofErr w:type="spellStart"/>
      <w:proofErr w:type="gramStart"/>
      <w:r w:rsidRPr="00CB2294">
        <w:rPr>
          <w:rFonts w:ascii="Times New Roman" w:hAnsi="Times New Roman" w:cs="Times New Roman"/>
          <w:color w:val="000000"/>
          <w:sz w:val="24"/>
          <w:szCs w:val="24"/>
          <w:shd w:val="clear" w:color="auto" w:fill="FFFFFF"/>
        </w:rPr>
        <w:t>lerdir.Diğer</w:t>
      </w:r>
      <w:proofErr w:type="spellEnd"/>
      <w:proofErr w:type="gramEnd"/>
      <w:r w:rsidRPr="00CB2294">
        <w:rPr>
          <w:rFonts w:ascii="Times New Roman" w:hAnsi="Times New Roman" w:cs="Times New Roman"/>
          <w:color w:val="000000"/>
          <w:sz w:val="24"/>
          <w:szCs w:val="24"/>
          <w:shd w:val="clear" w:color="auto" w:fill="FFFFFF"/>
        </w:rPr>
        <w:t xml:space="preserve"> bir deyişle </w:t>
      </w:r>
      <w:proofErr w:type="spellStart"/>
      <w:r w:rsidRPr="00CB2294">
        <w:rPr>
          <w:rFonts w:ascii="Times New Roman" w:hAnsi="Times New Roman" w:cs="Times New Roman"/>
          <w:color w:val="000000"/>
          <w:sz w:val="24"/>
          <w:szCs w:val="24"/>
          <w:shd w:val="clear" w:color="auto" w:fill="FFFFFF"/>
        </w:rPr>
        <w:t>İDT,sermayesinin</w:t>
      </w:r>
      <w:proofErr w:type="spellEnd"/>
      <w:r w:rsidRPr="00CB2294">
        <w:rPr>
          <w:rFonts w:ascii="Times New Roman" w:hAnsi="Times New Roman" w:cs="Times New Roman"/>
          <w:color w:val="000000"/>
          <w:sz w:val="24"/>
          <w:szCs w:val="24"/>
          <w:shd w:val="clear" w:color="auto" w:fill="FFFFFF"/>
        </w:rPr>
        <w:t xml:space="preserve"> tamamı Devlete ait iktisadi alanda ticari esaslara göre faaliyet göstermek üzere kurulan KİT </w:t>
      </w:r>
      <w:proofErr w:type="spellStart"/>
      <w:r w:rsidRPr="00CB2294">
        <w:rPr>
          <w:rFonts w:ascii="Times New Roman" w:hAnsi="Times New Roman" w:cs="Times New Roman"/>
          <w:color w:val="000000"/>
          <w:sz w:val="24"/>
          <w:szCs w:val="24"/>
          <w:shd w:val="clear" w:color="auto" w:fill="FFFFFF"/>
        </w:rPr>
        <w:t>lerdir.Bu</w:t>
      </w:r>
      <w:proofErr w:type="spellEnd"/>
      <w:r w:rsidRPr="00CB2294">
        <w:rPr>
          <w:rFonts w:ascii="Times New Roman" w:hAnsi="Times New Roman" w:cs="Times New Roman"/>
          <w:color w:val="000000"/>
          <w:sz w:val="24"/>
          <w:szCs w:val="24"/>
          <w:shd w:val="clear" w:color="auto" w:fill="FFFFFF"/>
        </w:rPr>
        <w:t xml:space="preserve"> kuruluşların tüzel kişilikleri vardır ve sorumlulukları sermayeleri ile </w:t>
      </w:r>
      <w:proofErr w:type="spellStart"/>
      <w:r w:rsidRPr="00CB2294">
        <w:rPr>
          <w:rFonts w:ascii="Times New Roman" w:hAnsi="Times New Roman" w:cs="Times New Roman"/>
          <w:color w:val="000000"/>
          <w:sz w:val="24"/>
          <w:szCs w:val="24"/>
          <w:shd w:val="clear" w:color="auto" w:fill="FFFFFF"/>
        </w:rPr>
        <w:t>sınırlıdır.Devletin</w:t>
      </w:r>
      <w:proofErr w:type="spellEnd"/>
      <w:r w:rsidRPr="00CB2294">
        <w:rPr>
          <w:rFonts w:ascii="Times New Roman" w:hAnsi="Times New Roman" w:cs="Times New Roman"/>
          <w:color w:val="000000"/>
          <w:sz w:val="24"/>
          <w:szCs w:val="24"/>
          <w:shd w:val="clear" w:color="auto" w:fill="FFFFFF"/>
        </w:rPr>
        <w:t xml:space="preserve"> genel muhasebe kanununa ve Sayıştay denetimine tabi </w:t>
      </w:r>
      <w:proofErr w:type="spellStart"/>
      <w:r w:rsidRPr="00CB2294">
        <w:rPr>
          <w:rFonts w:ascii="Times New Roman" w:hAnsi="Times New Roman" w:cs="Times New Roman"/>
          <w:color w:val="000000"/>
          <w:sz w:val="24"/>
          <w:szCs w:val="24"/>
          <w:shd w:val="clear" w:color="auto" w:fill="FFFFFF"/>
        </w:rPr>
        <w:t>değildirler.Yönetim</w:t>
      </w:r>
      <w:proofErr w:type="spellEnd"/>
      <w:r w:rsidRPr="00CB2294">
        <w:rPr>
          <w:rFonts w:ascii="Times New Roman" w:hAnsi="Times New Roman" w:cs="Times New Roman"/>
          <w:color w:val="000000"/>
          <w:sz w:val="24"/>
          <w:szCs w:val="24"/>
          <w:shd w:val="clear" w:color="auto" w:fill="FFFFFF"/>
        </w:rPr>
        <w:t xml:space="preserve"> </w:t>
      </w:r>
      <w:proofErr w:type="spellStart"/>
      <w:r w:rsidRPr="00CB2294">
        <w:rPr>
          <w:rFonts w:ascii="Times New Roman" w:hAnsi="Times New Roman" w:cs="Times New Roman"/>
          <w:color w:val="000000"/>
          <w:sz w:val="24"/>
          <w:szCs w:val="24"/>
          <w:shd w:val="clear" w:color="auto" w:fill="FFFFFF"/>
        </w:rPr>
        <w:t>organları,en</w:t>
      </w:r>
      <w:proofErr w:type="spellEnd"/>
      <w:r w:rsidRPr="00CB2294">
        <w:rPr>
          <w:rFonts w:ascii="Times New Roman" w:hAnsi="Times New Roman" w:cs="Times New Roman"/>
          <w:color w:val="000000"/>
          <w:sz w:val="24"/>
          <w:szCs w:val="24"/>
          <w:shd w:val="clear" w:color="auto" w:fill="FFFFFF"/>
        </w:rPr>
        <w:t xml:space="preserve"> üst düzey karar ve sorumlu organı yönetim </w:t>
      </w:r>
      <w:proofErr w:type="spellStart"/>
      <w:r w:rsidRPr="00CB2294">
        <w:rPr>
          <w:rFonts w:ascii="Times New Roman" w:hAnsi="Times New Roman" w:cs="Times New Roman"/>
          <w:color w:val="000000"/>
          <w:sz w:val="24"/>
          <w:szCs w:val="24"/>
          <w:shd w:val="clear" w:color="auto" w:fill="FFFFFF"/>
        </w:rPr>
        <w:t>kurulu,yetkili</w:t>
      </w:r>
      <w:proofErr w:type="spellEnd"/>
      <w:r w:rsidRPr="00CB2294">
        <w:rPr>
          <w:rFonts w:ascii="Times New Roman" w:hAnsi="Times New Roman" w:cs="Times New Roman"/>
          <w:color w:val="000000"/>
          <w:sz w:val="24"/>
          <w:szCs w:val="24"/>
          <w:shd w:val="clear" w:color="auto" w:fill="FFFFFF"/>
        </w:rPr>
        <w:t xml:space="preserve"> ve sorumlu yürütme organı genel müdürdür.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r w:rsidRPr="00CB2294">
        <w:rPr>
          <w:rFonts w:ascii="Times New Roman" w:hAnsi="Times New Roman" w:cs="Times New Roman"/>
          <w:color w:val="000000"/>
          <w:sz w:val="24"/>
          <w:szCs w:val="24"/>
          <w:shd w:val="clear" w:color="auto" w:fill="FFFFFF"/>
        </w:rPr>
        <w:t xml:space="preserve">Kamu iktisadi kuruluşları(KİK):Kendilerine verilen görev ve kamu hizmetlerini ekonomik ve sosyal gereklere uygun olarak “verimlilik” ilkesi doğrultusunda yürütmeleri gereken </w:t>
      </w:r>
      <w:proofErr w:type="spellStart"/>
      <w:proofErr w:type="gramStart"/>
      <w:r w:rsidRPr="00CB2294">
        <w:rPr>
          <w:rFonts w:ascii="Times New Roman" w:hAnsi="Times New Roman" w:cs="Times New Roman"/>
          <w:color w:val="000000"/>
          <w:sz w:val="24"/>
          <w:szCs w:val="24"/>
          <w:shd w:val="clear" w:color="auto" w:fill="FFFFFF"/>
        </w:rPr>
        <w:t>işletmelerdir.KİK</w:t>
      </w:r>
      <w:proofErr w:type="spellEnd"/>
      <w:proofErr w:type="gramEnd"/>
      <w:r w:rsidRPr="00CB2294">
        <w:rPr>
          <w:rFonts w:ascii="Times New Roman" w:hAnsi="Times New Roman" w:cs="Times New Roman"/>
          <w:color w:val="000000"/>
          <w:sz w:val="24"/>
          <w:szCs w:val="24"/>
          <w:shd w:val="clear" w:color="auto" w:fill="FFFFFF"/>
        </w:rPr>
        <w:t xml:space="preserve"> </w:t>
      </w:r>
      <w:proofErr w:type="spellStart"/>
      <w:r w:rsidRPr="00CB2294">
        <w:rPr>
          <w:rFonts w:ascii="Times New Roman" w:hAnsi="Times New Roman" w:cs="Times New Roman"/>
          <w:color w:val="000000"/>
          <w:sz w:val="24"/>
          <w:szCs w:val="24"/>
          <w:shd w:val="clear" w:color="auto" w:fill="FFFFFF"/>
        </w:rPr>
        <w:t>ler</w:t>
      </w:r>
      <w:proofErr w:type="spellEnd"/>
      <w:r w:rsidRPr="00CB2294">
        <w:rPr>
          <w:rFonts w:ascii="Times New Roman" w:hAnsi="Times New Roman" w:cs="Times New Roman"/>
          <w:color w:val="000000"/>
          <w:sz w:val="24"/>
          <w:szCs w:val="24"/>
          <w:shd w:val="clear" w:color="auto" w:fill="FFFFFF"/>
        </w:rPr>
        <w:t xml:space="preserve"> sermayesinin tamamı devlete ait olup tekel niteliğindeki mal ve hizmetleri kamu yararı gözeterek üretmek ve pazarlamak üzere kurulan ve gördüğü bu kamu hizmeti dolayısıyla ürettiği mal ve hizmetler imtiyaz sayılan KİT </w:t>
      </w:r>
      <w:proofErr w:type="spellStart"/>
      <w:r w:rsidRPr="00CB2294">
        <w:rPr>
          <w:rFonts w:ascii="Times New Roman" w:hAnsi="Times New Roman" w:cs="Times New Roman"/>
          <w:color w:val="000000"/>
          <w:sz w:val="24"/>
          <w:szCs w:val="24"/>
          <w:shd w:val="clear" w:color="auto" w:fill="FFFFFF"/>
        </w:rPr>
        <w:t>lerdir.Bu</w:t>
      </w:r>
      <w:proofErr w:type="spellEnd"/>
      <w:r w:rsidRPr="00CB2294">
        <w:rPr>
          <w:rFonts w:ascii="Times New Roman" w:hAnsi="Times New Roman" w:cs="Times New Roman"/>
          <w:color w:val="000000"/>
          <w:sz w:val="24"/>
          <w:szCs w:val="24"/>
          <w:shd w:val="clear" w:color="auto" w:fill="FFFFFF"/>
        </w:rPr>
        <w:t xml:space="preserve"> kuruluşlar tüzel kişiliğe </w:t>
      </w:r>
      <w:proofErr w:type="spellStart"/>
      <w:r w:rsidRPr="00CB2294">
        <w:rPr>
          <w:rFonts w:ascii="Times New Roman" w:hAnsi="Times New Roman" w:cs="Times New Roman"/>
          <w:color w:val="000000"/>
          <w:sz w:val="24"/>
          <w:szCs w:val="24"/>
          <w:shd w:val="clear" w:color="auto" w:fill="FFFFFF"/>
        </w:rPr>
        <w:t>sahiptirler.Özel</w:t>
      </w:r>
      <w:proofErr w:type="spellEnd"/>
      <w:r w:rsidRPr="00CB2294">
        <w:rPr>
          <w:rFonts w:ascii="Times New Roman" w:hAnsi="Times New Roman" w:cs="Times New Roman"/>
          <w:color w:val="000000"/>
          <w:sz w:val="24"/>
          <w:szCs w:val="24"/>
          <w:shd w:val="clear" w:color="auto" w:fill="FFFFFF"/>
        </w:rPr>
        <w:t xml:space="preserve"> hukuk hükümlerine </w:t>
      </w:r>
      <w:proofErr w:type="spellStart"/>
      <w:r w:rsidRPr="00CB2294">
        <w:rPr>
          <w:rFonts w:ascii="Times New Roman" w:hAnsi="Times New Roman" w:cs="Times New Roman"/>
          <w:color w:val="000000"/>
          <w:sz w:val="24"/>
          <w:szCs w:val="24"/>
          <w:shd w:val="clear" w:color="auto" w:fill="FFFFFF"/>
        </w:rPr>
        <w:t>tabidirler.Genel</w:t>
      </w:r>
      <w:proofErr w:type="spellEnd"/>
      <w:r w:rsidRPr="00CB2294">
        <w:rPr>
          <w:rFonts w:ascii="Times New Roman" w:hAnsi="Times New Roman" w:cs="Times New Roman"/>
          <w:color w:val="000000"/>
          <w:sz w:val="24"/>
          <w:szCs w:val="24"/>
          <w:shd w:val="clear" w:color="auto" w:fill="FFFFFF"/>
        </w:rPr>
        <w:t xml:space="preserve"> muhasebe kanuna ve Sayıştay denetimine tabi </w:t>
      </w:r>
      <w:proofErr w:type="spellStart"/>
      <w:r w:rsidRPr="00CB2294">
        <w:rPr>
          <w:rFonts w:ascii="Times New Roman" w:hAnsi="Times New Roman" w:cs="Times New Roman"/>
          <w:color w:val="000000"/>
          <w:sz w:val="24"/>
          <w:szCs w:val="24"/>
          <w:shd w:val="clear" w:color="auto" w:fill="FFFFFF"/>
        </w:rPr>
        <w:t>değildirler.Sorumlulukları</w:t>
      </w:r>
      <w:proofErr w:type="spellEnd"/>
      <w:r w:rsidRPr="00CB2294">
        <w:rPr>
          <w:rFonts w:ascii="Times New Roman" w:hAnsi="Times New Roman" w:cs="Times New Roman"/>
          <w:color w:val="000000"/>
          <w:sz w:val="24"/>
          <w:szCs w:val="24"/>
          <w:shd w:val="clear" w:color="auto" w:fill="FFFFFF"/>
        </w:rPr>
        <w:t xml:space="preserve"> sermayeleri ile </w:t>
      </w:r>
      <w:proofErr w:type="spellStart"/>
      <w:r w:rsidRPr="00CB2294">
        <w:rPr>
          <w:rFonts w:ascii="Times New Roman" w:hAnsi="Times New Roman" w:cs="Times New Roman"/>
          <w:color w:val="000000"/>
          <w:sz w:val="24"/>
          <w:szCs w:val="24"/>
          <w:shd w:val="clear" w:color="auto" w:fill="FFFFFF"/>
        </w:rPr>
        <w:t>sınırlıdır.Organları</w:t>
      </w:r>
      <w:proofErr w:type="spellEnd"/>
      <w:r w:rsidRPr="00CB2294">
        <w:rPr>
          <w:rFonts w:ascii="Times New Roman" w:hAnsi="Times New Roman" w:cs="Times New Roman"/>
          <w:color w:val="000000"/>
          <w:sz w:val="24"/>
          <w:szCs w:val="24"/>
          <w:shd w:val="clear" w:color="auto" w:fill="FFFFFF"/>
        </w:rPr>
        <w:t xml:space="preserve"> İDT deki gibidir.</w:t>
      </w:r>
    </w:p>
    <w:p w:rsidR="00CB2294" w:rsidRPr="00CB2294" w:rsidRDefault="00CB2294" w:rsidP="00CB2294">
      <w:pPr>
        <w:spacing w:line="360" w:lineRule="auto"/>
        <w:ind w:left="142" w:firstLine="708"/>
        <w:jc w:val="both"/>
        <w:rPr>
          <w:rFonts w:ascii="Times New Roman" w:hAnsi="Times New Roman" w:cs="Times New Roman"/>
          <w:color w:val="000000"/>
          <w:sz w:val="24"/>
          <w:szCs w:val="24"/>
          <w:shd w:val="clear" w:color="auto" w:fill="FFFFFF"/>
        </w:rPr>
      </w:pPr>
    </w:p>
    <w:p w:rsidR="00476EC5" w:rsidRPr="00CB2294" w:rsidRDefault="00CB2294" w:rsidP="00CB2294">
      <w:pPr>
        <w:spacing w:line="360" w:lineRule="auto"/>
        <w:ind w:left="142" w:firstLine="708"/>
        <w:jc w:val="both"/>
        <w:rPr>
          <w:rFonts w:ascii="Times New Roman" w:hAnsi="Times New Roman" w:cs="Times New Roman"/>
          <w:sz w:val="24"/>
          <w:szCs w:val="24"/>
        </w:rPr>
      </w:pPr>
      <w:r w:rsidRPr="00CB2294">
        <w:rPr>
          <w:rFonts w:ascii="Times New Roman" w:hAnsi="Times New Roman" w:cs="Times New Roman"/>
          <w:color w:val="000000"/>
          <w:sz w:val="24"/>
          <w:szCs w:val="24"/>
          <w:shd w:val="clear" w:color="auto" w:fill="FFFFFF"/>
        </w:rPr>
        <w:t xml:space="preserve">III.     Yabancı sermayeli </w:t>
      </w:r>
      <w:proofErr w:type="spellStart"/>
      <w:r w:rsidRPr="00CB2294">
        <w:rPr>
          <w:rFonts w:ascii="Times New Roman" w:hAnsi="Times New Roman" w:cs="Times New Roman"/>
          <w:color w:val="000000"/>
          <w:sz w:val="24"/>
          <w:szCs w:val="24"/>
          <w:shd w:val="clear" w:color="auto" w:fill="FFFFFF"/>
        </w:rPr>
        <w:t>işletmeler</w:t>
      </w:r>
      <w:r w:rsidR="004C5C80" w:rsidRPr="00CB2294">
        <w:rPr>
          <w:rFonts w:ascii="Times New Roman" w:hAnsi="Times New Roman" w:cs="Times New Roman"/>
          <w:color w:val="000000"/>
          <w:sz w:val="24"/>
          <w:szCs w:val="24"/>
          <w:shd w:val="clear" w:color="auto" w:fill="FFFFFF"/>
        </w:rPr>
        <w:t>e</w:t>
      </w:r>
      <w:r w:rsidRPr="00CB2294">
        <w:rPr>
          <w:rFonts w:ascii="Times New Roman" w:hAnsi="Times New Roman" w:cs="Times New Roman"/>
          <w:color w:val="000000"/>
          <w:sz w:val="24"/>
          <w:szCs w:val="24"/>
          <w:shd w:val="clear" w:color="auto" w:fill="FFFFFF"/>
        </w:rPr>
        <w:t>n</w:t>
      </w:r>
      <w:proofErr w:type="spellEnd"/>
      <w:r w:rsidRPr="00CB2294">
        <w:rPr>
          <w:rFonts w:ascii="Times New Roman" w:hAnsi="Times New Roman" w:cs="Times New Roman"/>
          <w:color w:val="000000"/>
          <w:sz w:val="24"/>
          <w:szCs w:val="24"/>
          <w:shd w:val="clear" w:color="auto" w:fill="FFFFFF"/>
        </w:rPr>
        <w:t xml:space="preserve"> az 7 ortak tarafından kurulur</w:t>
      </w:r>
    </w:p>
    <w:sectPr w:rsidR="00476EC5" w:rsidRPr="00CB22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E2" w:rsidRDefault="001210E2" w:rsidP="00590C27">
      <w:pPr>
        <w:spacing w:after="0" w:line="240" w:lineRule="auto"/>
      </w:pPr>
      <w:r>
        <w:separator/>
      </w:r>
    </w:p>
  </w:endnote>
  <w:endnote w:type="continuationSeparator" w:id="0">
    <w:p w:rsidR="001210E2" w:rsidRDefault="001210E2" w:rsidP="0059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27" w:rsidRDefault="00590C27" w:rsidP="00590C27">
    <w:pPr>
      <w:widowControl w:val="0"/>
      <w:pBdr>
        <w:top w:val="nil"/>
        <w:left w:val="nil"/>
        <w:bottom w:val="nil"/>
        <w:right w:val="nil"/>
        <w:between w:val="nil"/>
      </w:pBdr>
      <w:spacing w:after="0" w:line="276" w:lineRule="auto"/>
      <w:rPr>
        <w:rFonts w:ascii="Arial" w:eastAsia="Arial" w:hAnsi="Arial" w:cs="Arial"/>
        <w:b/>
        <w:color w:val="000099"/>
      </w:rPr>
    </w:pPr>
  </w:p>
  <w:tbl>
    <w:tblPr>
      <w:tblW w:w="11341" w:type="dxa"/>
      <w:tblInd w:w="-1452" w:type="dxa"/>
      <w:tblBorders>
        <w:top w:val="nil"/>
        <w:left w:val="nil"/>
        <w:bottom w:val="nil"/>
        <w:right w:val="nil"/>
        <w:insideH w:val="nil"/>
        <w:insideV w:val="nil"/>
      </w:tblBorders>
      <w:tblLayout w:type="fixed"/>
      <w:tblLook w:val="0400" w:firstRow="0" w:lastRow="0" w:firstColumn="0" w:lastColumn="0" w:noHBand="0" w:noVBand="1"/>
    </w:tblPr>
    <w:tblGrid>
      <w:gridCol w:w="3261"/>
      <w:gridCol w:w="2268"/>
      <w:gridCol w:w="2268"/>
      <w:gridCol w:w="1985"/>
      <w:gridCol w:w="1559"/>
    </w:tblGrid>
    <w:tr w:rsidR="00590C27" w:rsidTr="00A72371">
      <w:tc>
        <w:tcPr>
          <w:tcW w:w="3261" w:type="dxa"/>
        </w:tcPr>
        <w:p w:rsidR="00590C27" w:rsidRDefault="00590C27" w:rsidP="00590C27">
          <w:pPr>
            <w:pBdr>
              <w:top w:val="nil"/>
              <w:left w:val="nil"/>
              <w:bottom w:val="nil"/>
              <w:right w:val="nil"/>
              <w:between w:val="nil"/>
            </w:pBdr>
            <w:tabs>
              <w:tab w:val="center" w:pos="4153"/>
              <w:tab w:val="right" w:pos="8306"/>
            </w:tabs>
            <w:rPr>
              <w:color w:val="000000"/>
            </w:rPr>
          </w:pPr>
        </w:p>
      </w:tc>
      <w:tc>
        <w:tcPr>
          <w:tcW w:w="2268" w:type="dxa"/>
          <w:tcBorders>
            <w:bottom w:val="single" w:sz="18" w:space="0" w:color="312783"/>
          </w:tcBorders>
        </w:tcPr>
        <w:p w:rsidR="00590C27" w:rsidRDefault="00590C27" w:rsidP="00590C27">
          <w:pPr>
            <w:pBdr>
              <w:top w:val="nil"/>
              <w:left w:val="nil"/>
              <w:bottom w:val="nil"/>
              <w:right w:val="nil"/>
              <w:between w:val="nil"/>
            </w:pBdr>
            <w:tabs>
              <w:tab w:val="center" w:pos="4153"/>
              <w:tab w:val="right" w:pos="8306"/>
            </w:tabs>
            <w:rPr>
              <w:color w:val="000000"/>
            </w:rPr>
          </w:pPr>
        </w:p>
      </w:tc>
      <w:tc>
        <w:tcPr>
          <w:tcW w:w="2268" w:type="dxa"/>
        </w:tcPr>
        <w:p w:rsidR="00590C27" w:rsidRDefault="00590C27" w:rsidP="00590C27">
          <w:pPr>
            <w:pBdr>
              <w:top w:val="nil"/>
              <w:left w:val="nil"/>
              <w:bottom w:val="nil"/>
              <w:right w:val="nil"/>
              <w:between w:val="nil"/>
            </w:pBdr>
            <w:tabs>
              <w:tab w:val="center" w:pos="4153"/>
              <w:tab w:val="right" w:pos="8306"/>
            </w:tabs>
            <w:rPr>
              <w:color w:val="000000"/>
            </w:rPr>
          </w:pPr>
        </w:p>
      </w:tc>
      <w:tc>
        <w:tcPr>
          <w:tcW w:w="3544" w:type="dxa"/>
          <w:gridSpan w:val="2"/>
        </w:tcPr>
        <w:p w:rsidR="00590C27" w:rsidRDefault="00590C27" w:rsidP="00590C27">
          <w:pPr>
            <w:pBdr>
              <w:top w:val="nil"/>
              <w:left w:val="nil"/>
              <w:bottom w:val="nil"/>
              <w:right w:val="nil"/>
              <w:between w:val="nil"/>
            </w:pBdr>
            <w:tabs>
              <w:tab w:val="center" w:pos="4153"/>
              <w:tab w:val="right" w:pos="8306"/>
            </w:tabs>
            <w:jc w:val="right"/>
            <w:rPr>
              <w:color w:val="000000"/>
            </w:rPr>
          </w:pPr>
          <w:r>
            <w:rPr>
              <w:noProof/>
              <w:color w:val="000000"/>
              <w:lang w:eastAsia="tr-TR"/>
            </w:rPr>
            <w:drawing>
              <wp:inline distT="0" distB="0" distL="0" distR="0" wp14:anchorId="515CB3F4" wp14:editId="6C707333">
                <wp:extent cx="1231849" cy="252687"/>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1849" cy="252687"/>
                        </a:xfrm>
                        <a:prstGeom prst="rect">
                          <a:avLst/>
                        </a:prstGeom>
                        <a:ln/>
                      </pic:spPr>
                    </pic:pic>
                  </a:graphicData>
                </a:graphic>
              </wp:inline>
            </w:drawing>
          </w:r>
        </w:p>
      </w:tc>
    </w:tr>
    <w:tr w:rsidR="00590C27" w:rsidTr="00A72371">
      <w:trPr>
        <w:trHeight w:val="340"/>
      </w:trPr>
      <w:tc>
        <w:tcPr>
          <w:tcW w:w="3261" w:type="dxa"/>
          <w:tcBorders>
            <w:top w:val="single" w:sz="18" w:space="0" w:color="312783"/>
          </w:tcBorders>
          <w:vAlign w:val="bottom"/>
        </w:tcPr>
        <w:p w:rsidR="00590C27" w:rsidRDefault="00590C27" w:rsidP="00590C27">
          <w:pPr>
            <w:pBdr>
              <w:top w:val="nil"/>
              <w:left w:val="nil"/>
              <w:bottom w:val="nil"/>
              <w:right w:val="nil"/>
              <w:between w:val="nil"/>
            </w:pBdr>
            <w:tabs>
              <w:tab w:val="center" w:pos="4153"/>
              <w:tab w:val="right" w:pos="8306"/>
            </w:tabs>
            <w:ind w:firstLine="34"/>
            <w:rPr>
              <w:rFonts w:ascii="Arial" w:eastAsia="Arial" w:hAnsi="Arial" w:cs="Arial"/>
              <w:color w:val="000099"/>
              <w:sz w:val="18"/>
              <w:szCs w:val="18"/>
            </w:rPr>
          </w:pPr>
          <w:proofErr w:type="spellStart"/>
          <w:r>
            <w:rPr>
              <w:rFonts w:ascii="Arial" w:eastAsia="Arial" w:hAnsi="Arial" w:cs="Arial"/>
              <w:color w:val="000099"/>
              <w:sz w:val="18"/>
              <w:szCs w:val="18"/>
            </w:rPr>
            <w:t>Kurupelit</w:t>
          </w:r>
          <w:proofErr w:type="spellEnd"/>
          <w:r>
            <w:rPr>
              <w:rFonts w:ascii="Arial" w:eastAsia="Arial" w:hAnsi="Arial" w:cs="Arial"/>
              <w:color w:val="000099"/>
              <w:sz w:val="18"/>
              <w:szCs w:val="18"/>
            </w:rPr>
            <w:t xml:space="preserve"> Kampüsü </w:t>
          </w:r>
          <w:proofErr w:type="gramStart"/>
          <w:r>
            <w:rPr>
              <w:rFonts w:ascii="Arial" w:eastAsia="Arial" w:hAnsi="Arial" w:cs="Arial"/>
              <w:color w:val="000099"/>
              <w:sz w:val="18"/>
              <w:szCs w:val="18"/>
            </w:rPr>
            <w:t>55139  SAMSUN</w:t>
          </w:r>
          <w:proofErr w:type="gramEnd"/>
        </w:p>
      </w:tc>
      <w:tc>
        <w:tcPr>
          <w:tcW w:w="2268" w:type="dxa"/>
          <w:tcBorders>
            <w:top w:val="single" w:sz="18" w:space="0" w:color="312783"/>
          </w:tcBorders>
          <w:vAlign w:val="bottom"/>
        </w:tcPr>
        <w:p w:rsidR="00590C27" w:rsidRDefault="00590C27" w:rsidP="00590C27">
          <w:pPr>
            <w:pBdr>
              <w:top w:val="nil"/>
              <w:left w:val="nil"/>
              <w:bottom w:val="nil"/>
              <w:right w:val="nil"/>
              <w:between w:val="nil"/>
            </w:pBdr>
            <w:tabs>
              <w:tab w:val="center" w:pos="4153"/>
              <w:tab w:val="right" w:pos="8306"/>
            </w:tabs>
            <w:ind w:firstLine="182"/>
            <w:jc w:val="center"/>
            <w:rPr>
              <w:rFonts w:ascii="Arial" w:eastAsia="Arial" w:hAnsi="Arial" w:cs="Arial"/>
              <w:color w:val="000099"/>
              <w:sz w:val="18"/>
              <w:szCs w:val="18"/>
            </w:rPr>
          </w:pPr>
          <w:r>
            <w:rPr>
              <w:rFonts w:ascii="Arial" w:eastAsia="Arial" w:hAnsi="Arial" w:cs="Arial"/>
              <w:color w:val="000099"/>
              <w:sz w:val="18"/>
              <w:szCs w:val="18"/>
            </w:rPr>
            <w:t>Tel: +90 362 312 19 19</w:t>
          </w:r>
        </w:p>
      </w:tc>
      <w:tc>
        <w:tcPr>
          <w:tcW w:w="2268" w:type="dxa"/>
          <w:tcBorders>
            <w:top w:val="single" w:sz="18" w:space="0" w:color="312783"/>
          </w:tcBorders>
          <w:vAlign w:val="bottom"/>
        </w:tcPr>
        <w:p w:rsidR="00590C27" w:rsidRDefault="00590C27" w:rsidP="00590C27">
          <w:pPr>
            <w:pBdr>
              <w:top w:val="nil"/>
              <w:left w:val="nil"/>
              <w:bottom w:val="nil"/>
              <w:right w:val="nil"/>
              <w:between w:val="nil"/>
            </w:pBdr>
            <w:tabs>
              <w:tab w:val="center" w:pos="4153"/>
              <w:tab w:val="right" w:pos="8306"/>
            </w:tabs>
            <w:jc w:val="center"/>
            <w:rPr>
              <w:rFonts w:ascii="Arial" w:eastAsia="Arial" w:hAnsi="Arial" w:cs="Arial"/>
              <w:color w:val="000099"/>
              <w:sz w:val="18"/>
              <w:szCs w:val="18"/>
            </w:rPr>
          </w:pPr>
          <w:r>
            <w:rPr>
              <w:rFonts w:ascii="Arial" w:eastAsia="Arial" w:hAnsi="Arial" w:cs="Arial"/>
              <w:color w:val="000099"/>
              <w:sz w:val="18"/>
              <w:szCs w:val="18"/>
            </w:rPr>
            <w:t xml:space="preserve"> Faks: +90 362 457 60 91 </w:t>
          </w:r>
        </w:p>
      </w:tc>
      <w:tc>
        <w:tcPr>
          <w:tcW w:w="1985" w:type="dxa"/>
          <w:tcBorders>
            <w:top w:val="single" w:sz="18" w:space="0" w:color="312783"/>
          </w:tcBorders>
          <w:vAlign w:val="bottom"/>
        </w:tcPr>
        <w:p w:rsidR="00590C27" w:rsidRDefault="00590C27" w:rsidP="00590C27">
          <w:pPr>
            <w:pBdr>
              <w:top w:val="nil"/>
              <w:left w:val="nil"/>
              <w:bottom w:val="nil"/>
              <w:right w:val="nil"/>
              <w:between w:val="nil"/>
            </w:pBdr>
            <w:tabs>
              <w:tab w:val="center" w:pos="4153"/>
              <w:tab w:val="right" w:pos="8306"/>
            </w:tabs>
            <w:ind w:firstLine="172"/>
            <w:jc w:val="center"/>
            <w:rPr>
              <w:rFonts w:ascii="Arial" w:eastAsia="Arial" w:hAnsi="Arial" w:cs="Arial"/>
              <w:color w:val="000099"/>
              <w:sz w:val="18"/>
              <w:szCs w:val="18"/>
            </w:rPr>
          </w:pPr>
          <w:r>
            <w:rPr>
              <w:rFonts w:ascii="Arial" w:eastAsia="Arial" w:hAnsi="Arial" w:cs="Arial"/>
              <w:color w:val="000099"/>
              <w:sz w:val="18"/>
              <w:szCs w:val="18"/>
            </w:rPr>
            <w:t xml:space="preserve">iletisim@omu.edu.tr </w:t>
          </w:r>
        </w:p>
      </w:tc>
      <w:tc>
        <w:tcPr>
          <w:tcW w:w="1559" w:type="dxa"/>
          <w:tcBorders>
            <w:top w:val="single" w:sz="18" w:space="0" w:color="312783"/>
          </w:tcBorders>
          <w:vAlign w:val="bottom"/>
        </w:tcPr>
        <w:p w:rsidR="00590C27" w:rsidRDefault="00590C27" w:rsidP="00590C27">
          <w:pPr>
            <w:pBdr>
              <w:top w:val="nil"/>
              <w:left w:val="nil"/>
              <w:bottom w:val="nil"/>
              <w:right w:val="nil"/>
              <w:between w:val="nil"/>
            </w:pBdr>
            <w:tabs>
              <w:tab w:val="center" w:pos="4153"/>
              <w:tab w:val="right" w:pos="8306"/>
            </w:tabs>
            <w:ind w:firstLine="37"/>
            <w:jc w:val="right"/>
            <w:rPr>
              <w:rFonts w:ascii="Arial" w:eastAsia="Arial" w:hAnsi="Arial" w:cs="Arial"/>
              <w:color w:val="000099"/>
              <w:sz w:val="18"/>
              <w:szCs w:val="18"/>
            </w:rPr>
          </w:pPr>
          <w:r>
            <w:rPr>
              <w:rFonts w:ascii="Arial" w:eastAsia="Arial" w:hAnsi="Arial" w:cs="Arial"/>
              <w:color w:val="000099"/>
              <w:sz w:val="18"/>
              <w:szCs w:val="18"/>
            </w:rPr>
            <w:t>www.omu.edu.tr</w:t>
          </w:r>
        </w:p>
      </w:tc>
    </w:tr>
  </w:tbl>
  <w:p w:rsidR="00590C27" w:rsidRDefault="00590C27" w:rsidP="00590C27">
    <w:pPr>
      <w:pBdr>
        <w:top w:val="nil"/>
        <w:left w:val="nil"/>
        <w:bottom w:val="nil"/>
        <w:right w:val="nil"/>
        <w:between w:val="nil"/>
      </w:pBdr>
      <w:tabs>
        <w:tab w:val="center" w:pos="4153"/>
        <w:tab w:val="right" w:pos="8306"/>
      </w:tabs>
      <w:rPr>
        <w:color w:val="000000"/>
        <w:sz w:val="2"/>
        <w:szCs w:val="2"/>
      </w:rPr>
    </w:pPr>
  </w:p>
  <w:p w:rsidR="00590C27" w:rsidRDefault="00590C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E2" w:rsidRDefault="001210E2" w:rsidP="00590C27">
      <w:pPr>
        <w:spacing w:after="0" w:line="240" w:lineRule="auto"/>
      </w:pPr>
      <w:r>
        <w:separator/>
      </w:r>
    </w:p>
  </w:footnote>
  <w:footnote w:type="continuationSeparator" w:id="0">
    <w:p w:rsidR="001210E2" w:rsidRDefault="001210E2" w:rsidP="00590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27" w:rsidRPr="00590C27" w:rsidRDefault="00590C27" w:rsidP="00590C27">
    <w:pPr>
      <w:pBdr>
        <w:top w:val="nil"/>
        <w:left w:val="nil"/>
        <w:bottom w:val="nil"/>
        <w:right w:val="nil"/>
        <w:between w:val="nil"/>
      </w:pBdr>
      <w:tabs>
        <w:tab w:val="center" w:pos="4153"/>
        <w:tab w:val="right" w:pos="8306"/>
      </w:tabs>
      <w:rPr>
        <w:color w:val="000000"/>
      </w:rPr>
    </w:pPr>
    <w:r>
      <w:rPr>
        <w:noProof/>
        <w:lang w:eastAsia="tr-TR"/>
      </w:rPr>
      <w:drawing>
        <wp:anchor distT="0" distB="0" distL="114300" distR="114300" simplePos="0" relativeHeight="251659264" behindDoc="0" locked="0" layoutInCell="1" hidden="0" allowOverlap="1" wp14:anchorId="4F8385C0" wp14:editId="03AF05DF">
          <wp:simplePos x="0" y="0"/>
          <wp:positionH relativeFrom="column">
            <wp:posOffset>-1142999</wp:posOffset>
          </wp:positionH>
          <wp:positionV relativeFrom="paragraph">
            <wp:posOffset>-449579</wp:posOffset>
          </wp:positionV>
          <wp:extent cx="7551420" cy="1040765"/>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1420" cy="1040765"/>
                  </a:xfrm>
                  <a:prstGeom prst="rect">
                    <a:avLst/>
                  </a:prstGeom>
                  <a:ln/>
                </pic:spPr>
              </pic:pic>
            </a:graphicData>
          </a:graphic>
        </wp:anchor>
      </w:drawing>
    </w:r>
  </w:p>
  <w:p w:rsidR="00590C27" w:rsidRDefault="00590C27" w:rsidP="00590C27">
    <w:pPr>
      <w:pBdr>
        <w:top w:val="nil"/>
        <w:left w:val="nil"/>
        <w:bottom w:val="nil"/>
        <w:right w:val="nil"/>
        <w:between w:val="nil"/>
      </w:pBdr>
      <w:tabs>
        <w:tab w:val="center" w:pos="4153"/>
        <w:tab w:val="right" w:pos="8306"/>
      </w:tabs>
      <w:jc w:val="center"/>
      <w:rPr>
        <w:rFonts w:ascii="Arial" w:eastAsia="Arial" w:hAnsi="Arial" w:cs="Arial"/>
        <w:b/>
        <w:color w:val="000099"/>
      </w:rPr>
    </w:pPr>
    <w:r>
      <w:rPr>
        <w:rFonts w:ascii="Arial" w:eastAsia="Arial" w:hAnsi="Arial" w:cs="Arial"/>
        <w:b/>
        <w:color w:val="000099"/>
      </w:rPr>
      <w:t>T.C.</w:t>
    </w:r>
  </w:p>
  <w:p w:rsidR="00590C27" w:rsidRDefault="00590C27" w:rsidP="00590C27">
    <w:pPr>
      <w:pBdr>
        <w:top w:val="nil"/>
        <w:left w:val="nil"/>
        <w:bottom w:val="nil"/>
        <w:right w:val="nil"/>
        <w:between w:val="nil"/>
      </w:pBdr>
      <w:tabs>
        <w:tab w:val="center" w:pos="4153"/>
        <w:tab w:val="right" w:pos="8306"/>
      </w:tabs>
      <w:jc w:val="center"/>
      <w:rPr>
        <w:rFonts w:ascii="Arial" w:eastAsia="Arial" w:hAnsi="Arial" w:cs="Arial"/>
        <w:b/>
        <w:color w:val="000099"/>
      </w:rPr>
    </w:pPr>
    <w:r>
      <w:rPr>
        <w:rFonts w:ascii="Arial" w:eastAsia="Arial" w:hAnsi="Arial" w:cs="Arial"/>
        <w:b/>
        <w:color w:val="000099"/>
      </w:rPr>
      <w:t>ONDOKUZ MAYIS ÜNİVERSİTESİ</w:t>
    </w:r>
  </w:p>
  <w:p w:rsidR="00590C27" w:rsidRDefault="00590C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744"/>
    <w:multiLevelType w:val="multilevel"/>
    <w:tmpl w:val="19E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D6"/>
    <w:rsid w:val="00002727"/>
    <w:rsid w:val="00005B95"/>
    <w:rsid w:val="00010E7B"/>
    <w:rsid w:val="00017486"/>
    <w:rsid w:val="0006172D"/>
    <w:rsid w:val="000653B3"/>
    <w:rsid w:val="00073707"/>
    <w:rsid w:val="00087649"/>
    <w:rsid w:val="0009181C"/>
    <w:rsid w:val="00091D0D"/>
    <w:rsid w:val="00097158"/>
    <w:rsid w:val="000973AE"/>
    <w:rsid w:val="000A1E63"/>
    <w:rsid w:val="000A6DBD"/>
    <w:rsid w:val="000A72CE"/>
    <w:rsid w:val="000B376C"/>
    <w:rsid w:val="000B45BB"/>
    <w:rsid w:val="000C0BD9"/>
    <w:rsid w:val="000C4E03"/>
    <w:rsid w:val="000D39DC"/>
    <w:rsid w:val="000E4DDB"/>
    <w:rsid w:val="000E7323"/>
    <w:rsid w:val="000F0DB5"/>
    <w:rsid w:val="000F2648"/>
    <w:rsid w:val="000F547D"/>
    <w:rsid w:val="0011647B"/>
    <w:rsid w:val="00120473"/>
    <w:rsid w:val="001210E2"/>
    <w:rsid w:val="0012123A"/>
    <w:rsid w:val="00136339"/>
    <w:rsid w:val="001418E9"/>
    <w:rsid w:val="0014205A"/>
    <w:rsid w:val="0014754C"/>
    <w:rsid w:val="00147DA6"/>
    <w:rsid w:val="00154853"/>
    <w:rsid w:val="00156E4D"/>
    <w:rsid w:val="001727DD"/>
    <w:rsid w:val="00181347"/>
    <w:rsid w:val="001832D6"/>
    <w:rsid w:val="00187BC4"/>
    <w:rsid w:val="001A18F1"/>
    <w:rsid w:val="001A1A3E"/>
    <w:rsid w:val="001A407F"/>
    <w:rsid w:val="001A62DC"/>
    <w:rsid w:val="001A6DFA"/>
    <w:rsid w:val="001C0E33"/>
    <w:rsid w:val="001C135B"/>
    <w:rsid w:val="001C1E93"/>
    <w:rsid w:val="001C7EAA"/>
    <w:rsid w:val="001D442A"/>
    <w:rsid w:val="001E171A"/>
    <w:rsid w:val="001E7678"/>
    <w:rsid w:val="001F14BD"/>
    <w:rsid w:val="0020548D"/>
    <w:rsid w:val="0021437A"/>
    <w:rsid w:val="0023329C"/>
    <w:rsid w:val="00242355"/>
    <w:rsid w:val="00243AC8"/>
    <w:rsid w:val="0027764C"/>
    <w:rsid w:val="002802F6"/>
    <w:rsid w:val="00280E6C"/>
    <w:rsid w:val="002B6F9B"/>
    <w:rsid w:val="002E3EDF"/>
    <w:rsid w:val="002E4C6E"/>
    <w:rsid w:val="00301462"/>
    <w:rsid w:val="00303C84"/>
    <w:rsid w:val="00316122"/>
    <w:rsid w:val="0032113A"/>
    <w:rsid w:val="00321FA2"/>
    <w:rsid w:val="00322DF2"/>
    <w:rsid w:val="00324888"/>
    <w:rsid w:val="003372F7"/>
    <w:rsid w:val="00337A9E"/>
    <w:rsid w:val="003466E7"/>
    <w:rsid w:val="003523F1"/>
    <w:rsid w:val="003568B0"/>
    <w:rsid w:val="00362B02"/>
    <w:rsid w:val="00363D20"/>
    <w:rsid w:val="003657A1"/>
    <w:rsid w:val="003678C6"/>
    <w:rsid w:val="00373B31"/>
    <w:rsid w:val="003748CB"/>
    <w:rsid w:val="003875FB"/>
    <w:rsid w:val="003953F9"/>
    <w:rsid w:val="003B46A1"/>
    <w:rsid w:val="003B4700"/>
    <w:rsid w:val="003D3E25"/>
    <w:rsid w:val="003D4FBF"/>
    <w:rsid w:val="003D749C"/>
    <w:rsid w:val="003F4AD0"/>
    <w:rsid w:val="004118BF"/>
    <w:rsid w:val="00417614"/>
    <w:rsid w:val="00420FB1"/>
    <w:rsid w:val="004314F7"/>
    <w:rsid w:val="004332AD"/>
    <w:rsid w:val="00451F75"/>
    <w:rsid w:val="00460A70"/>
    <w:rsid w:val="00466DEE"/>
    <w:rsid w:val="00472F0A"/>
    <w:rsid w:val="00476D55"/>
    <w:rsid w:val="00476EC5"/>
    <w:rsid w:val="00490E80"/>
    <w:rsid w:val="00491FAA"/>
    <w:rsid w:val="00494222"/>
    <w:rsid w:val="004A1EDC"/>
    <w:rsid w:val="004C5C80"/>
    <w:rsid w:val="004D322E"/>
    <w:rsid w:val="004D3515"/>
    <w:rsid w:val="004D416F"/>
    <w:rsid w:val="004D4AC0"/>
    <w:rsid w:val="004E6EC8"/>
    <w:rsid w:val="004F6279"/>
    <w:rsid w:val="004F7086"/>
    <w:rsid w:val="005026A8"/>
    <w:rsid w:val="00503C64"/>
    <w:rsid w:val="00512703"/>
    <w:rsid w:val="00513055"/>
    <w:rsid w:val="00516163"/>
    <w:rsid w:val="00521A8C"/>
    <w:rsid w:val="00534E16"/>
    <w:rsid w:val="00534FE3"/>
    <w:rsid w:val="00547B84"/>
    <w:rsid w:val="00550D9B"/>
    <w:rsid w:val="00553106"/>
    <w:rsid w:val="00557508"/>
    <w:rsid w:val="00583E86"/>
    <w:rsid w:val="005875CD"/>
    <w:rsid w:val="00590C27"/>
    <w:rsid w:val="005937AF"/>
    <w:rsid w:val="00595752"/>
    <w:rsid w:val="005A43B6"/>
    <w:rsid w:val="005B3A80"/>
    <w:rsid w:val="005B4928"/>
    <w:rsid w:val="005F1FE0"/>
    <w:rsid w:val="00604618"/>
    <w:rsid w:val="00606FE2"/>
    <w:rsid w:val="00611EA3"/>
    <w:rsid w:val="006206E6"/>
    <w:rsid w:val="006227FE"/>
    <w:rsid w:val="0063737A"/>
    <w:rsid w:val="00637BF1"/>
    <w:rsid w:val="006405C9"/>
    <w:rsid w:val="00640F65"/>
    <w:rsid w:val="0064235C"/>
    <w:rsid w:val="00660C7E"/>
    <w:rsid w:val="00661CBF"/>
    <w:rsid w:val="006827EA"/>
    <w:rsid w:val="006A2F92"/>
    <w:rsid w:val="006A3614"/>
    <w:rsid w:val="006C24AE"/>
    <w:rsid w:val="006D7207"/>
    <w:rsid w:val="006E5AA4"/>
    <w:rsid w:val="006F009F"/>
    <w:rsid w:val="0072052D"/>
    <w:rsid w:val="0073485D"/>
    <w:rsid w:val="00737461"/>
    <w:rsid w:val="00743C24"/>
    <w:rsid w:val="0074716E"/>
    <w:rsid w:val="00753BC7"/>
    <w:rsid w:val="0075580F"/>
    <w:rsid w:val="0076114E"/>
    <w:rsid w:val="007707AA"/>
    <w:rsid w:val="00773BA6"/>
    <w:rsid w:val="007749E0"/>
    <w:rsid w:val="0078016E"/>
    <w:rsid w:val="0078559C"/>
    <w:rsid w:val="007939A4"/>
    <w:rsid w:val="007A3738"/>
    <w:rsid w:val="007B0FA5"/>
    <w:rsid w:val="007C0830"/>
    <w:rsid w:val="007C2EBD"/>
    <w:rsid w:val="007C3FDD"/>
    <w:rsid w:val="007C7677"/>
    <w:rsid w:val="007C7C0E"/>
    <w:rsid w:val="007E00E8"/>
    <w:rsid w:val="007E1CFF"/>
    <w:rsid w:val="007E3EE6"/>
    <w:rsid w:val="007E4107"/>
    <w:rsid w:val="007E54E2"/>
    <w:rsid w:val="007F3D57"/>
    <w:rsid w:val="007F79CE"/>
    <w:rsid w:val="00802017"/>
    <w:rsid w:val="00807A28"/>
    <w:rsid w:val="00813765"/>
    <w:rsid w:val="008144F7"/>
    <w:rsid w:val="00837579"/>
    <w:rsid w:val="008620C9"/>
    <w:rsid w:val="008631A7"/>
    <w:rsid w:val="0087119A"/>
    <w:rsid w:val="00884BB3"/>
    <w:rsid w:val="008A2C2A"/>
    <w:rsid w:val="008B2990"/>
    <w:rsid w:val="008C0C67"/>
    <w:rsid w:val="008D0700"/>
    <w:rsid w:val="008E31DC"/>
    <w:rsid w:val="008F0C82"/>
    <w:rsid w:val="008F36F0"/>
    <w:rsid w:val="009038BF"/>
    <w:rsid w:val="00903BA0"/>
    <w:rsid w:val="009122AB"/>
    <w:rsid w:val="00920406"/>
    <w:rsid w:val="00921719"/>
    <w:rsid w:val="00924731"/>
    <w:rsid w:val="00930783"/>
    <w:rsid w:val="00934022"/>
    <w:rsid w:val="00943C4F"/>
    <w:rsid w:val="009465FC"/>
    <w:rsid w:val="00957CA0"/>
    <w:rsid w:val="00962315"/>
    <w:rsid w:val="00976318"/>
    <w:rsid w:val="00980136"/>
    <w:rsid w:val="009A1F3F"/>
    <w:rsid w:val="009A5129"/>
    <w:rsid w:val="009B70F7"/>
    <w:rsid w:val="009C4144"/>
    <w:rsid w:val="009D495C"/>
    <w:rsid w:val="009E2C9C"/>
    <w:rsid w:val="009E4F50"/>
    <w:rsid w:val="009E51E0"/>
    <w:rsid w:val="009F1B60"/>
    <w:rsid w:val="009F41E7"/>
    <w:rsid w:val="00A005C8"/>
    <w:rsid w:val="00A01608"/>
    <w:rsid w:val="00A058C9"/>
    <w:rsid w:val="00A14E9F"/>
    <w:rsid w:val="00A20D39"/>
    <w:rsid w:val="00A23290"/>
    <w:rsid w:val="00A47A75"/>
    <w:rsid w:val="00A50598"/>
    <w:rsid w:val="00A618F2"/>
    <w:rsid w:val="00A659C9"/>
    <w:rsid w:val="00A73B40"/>
    <w:rsid w:val="00A763A7"/>
    <w:rsid w:val="00A774ED"/>
    <w:rsid w:val="00AA1311"/>
    <w:rsid w:val="00AA230A"/>
    <w:rsid w:val="00AB7935"/>
    <w:rsid w:val="00AC206B"/>
    <w:rsid w:val="00AE2A80"/>
    <w:rsid w:val="00B00F98"/>
    <w:rsid w:val="00B0669D"/>
    <w:rsid w:val="00B147B4"/>
    <w:rsid w:val="00B25D26"/>
    <w:rsid w:val="00B356B1"/>
    <w:rsid w:val="00B367A6"/>
    <w:rsid w:val="00B63C75"/>
    <w:rsid w:val="00B64A2F"/>
    <w:rsid w:val="00B73BC5"/>
    <w:rsid w:val="00B748EC"/>
    <w:rsid w:val="00B828D9"/>
    <w:rsid w:val="00B837A7"/>
    <w:rsid w:val="00B874B1"/>
    <w:rsid w:val="00B87C56"/>
    <w:rsid w:val="00B90135"/>
    <w:rsid w:val="00B92C53"/>
    <w:rsid w:val="00B94D38"/>
    <w:rsid w:val="00BD1F62"/>
    <w:rsid w:val="00BE55F7"/>
    <w:rsid w:val="00BE61B0"/>
    <w:rsid w:val="00BE7E2F"/>
    <w:rsid w:val="00C00AD6"/>
    <w:rsid w:val="00C05834"/>
    <w:rsid w:val="00C20DA9"/>
    <w:rsid w:val="00C30EE6"/>
    <w:rsid w:val="00C35B42"/>
    <w:rsid w:val="00C429C3"/>
    <w:rsid w:val="00C46129"/>
    <w:rsid w:val="00C56907"/>
    <w:rsid w:val="00C616B5"/>
    <w:rsid w:val="00C617BD"/>
    <w:rsid w:val="00C62E8B"/>
    <w:rsid w:val="00C72FFB"/>
    <w:rsid w:val="00C81DF3"/>
    <w:rsid w:val="00C9520F"/>
    <w:rsid w:val="00CA07DE"/>
    <w:rsid w:val="00CA0E7D"/>
    <w:rsid w:val="00CA46AE"/>
    <w:rsid w:val="00CA557B"/>
    <w:rsid w:val="00CB2294"/>
    <w:rsid w:val="00CB6C38"/>
    <w:rsid w:val="00CE2C47"/>
    <w:rsid w:val="00CF32C5"/>
    <w:rsid w:val="00CF673C"/>
    <w:rsid w:val="00CF6776"/>
    <w:rsid w:val="00CF7C59"/>
    <w:rsid w:val="00D0170B"/>
    <w:rsid w:val="00D0226C"/>
    <w:rsid w:val="00D03EB3"/>
    <w:rsid w:val="00D06174"/>
    <w:rsid w:val="00D31DA6"/>
    <w:rsid w:val="00D51A46"/>
    <w:rsid w:val="00D55732"/>
    <w:rsid w:val="00D73BC2"/>
    <w:rsid w:val="00D758ED"/>
    <w:rsid w:val="00D837BF"/>
    <w:rsid w:val="00D93989"/>
    <w:rsid w:val="00DA048C"/>
    <w:rsid w:val="00DB67DC"/>
    <w:rsid w:val="00DB6CF3"/>
    <w:rsid w:val="00DC01D2"/>
    <w:rsid w:val="00DC3038"/>
    <w:rsid w:val="00DE4B24"/>
    <w:rsid w:val="00DE7316"/>
    <w:rsid w:val="00DF601F"/>
    <w:rsid w:val="00E1734C"/>
    <w:rsid w:val="00E25315"/>
    <w:rsid w:val="00E276DC"/>
    <w:rsid w:val="00E32971"/>
    <w:rsid w:val="00E44E0A"/>
    <w:rsid w:val="00E60A1C"/>
    <w:rsid w:val="00E61005"/>
    <w:rsid w:val="00E63840"/>
    <w:rsid w:val="00E66E97"/>
    <w:rsid w:val="00E70963"/>
    <w:rsid w:val="00E74687"/>
    <w:rsid w:val="00E87E2B"/>
    <w:rsid w:val="00E934C7"/>
    <w:rsid w:val="00EB51CF"/>
    <w:rsid w:val="00EC08E2"/>
    <w:rsid w:val="00EE4B09"/>
    <w:rsid w:val="00F061BD"/>
    <w:rsid w:val="00F14755"/>
    <w:rsid w:val="00F15A0E"/>
    <w:rsid w:val="00F16F78"/>
    <w:rsid w:val="00F22D0D"/>
    <w:rsid w:val="00F27CEC"/>
    <w:rsid w:val="00F328FC"/>
    <w:rsid w:val="00F3789D"/>
    <w:rsid w:val="00F465C8"/>
    <w:rsid w:val="00F54726"/>
    <w:rsid w:val="00F54733"/>
    <w:rsid w:val="00F551D0"/>
    <w:rsid w:val="00F56C84"/>
    <w:rsid w:val="00F56F02"/>
    <w:rsid w:val="00F622D4"/>
    <w:rsid w:val="00F76EBC"/>
    <w:rsid w:val="00F772F7"/>
    <w:rsid w:val="00F901E1"/>
    <w:rsid w:val="00F95D7B"/>
    <w:rsid w:val="00FA4F3A"/>
    <w:rsid w:val="00FB062F"/>
    <w:rsid w:val="00FB0CEB"/>
    <w:rsid w:val="00FB3074"/>
    <w:rsid w:val="00FB33D1"/>
    <w:rsid w:val="00FC1E95"/>
    <w:rsid w:val="00FC22C3"/>
    <w:rsid w:val="00FD03AB"/>
    <w:rsid w:val="00FD2132"/>
    <w:rsid w:val="00FD4B88"/>
    <w:rsid w:val="00FF5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9390-B349-4F75-8068-8EB46ED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76EC5"/>
    <w:rPr>
      <w:b/>
      <w:bCs/>
    </w:rPr>
  </w:style>
  <w:style w:type="paragraph" w:styleId="NormalWeb">
    <w:name w:val="Normal (Web)"/>
    <w:basedOn w:val="Normal"/>
    <w:uiPriority w:val="99"/>
    <w:semiHidden/>
    <w:unhideWhenUsed/>
    <w:rsid w:val="00476E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90C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0C27"/>
  </w:style>
  <w:style w:type="paragraph" w:styleId="Altbilgi">
    <w:name w:val="footer"/>
    <w:basedOn w:val="Normal"/>
    <w:link w:val="AltbilgiChar"/>
    <w:uiPriority w:val="99"/>
    <w:unhideWhenUsed/>
    <w:rsid w:val="00590C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İlkılıç</dc:creator>
  <cp:keywords/>
  <dc:description/>
  <cp:lastModifiedBy>qqq</cp:lastModifiedBy>
  <cp:revision>2</cp:revision>
  <dcterms:created xsi:type="dcterms:W3CDTF">2020-01-15T14:30:00Z</dcterms:created>
  <dcterms:modified xsi:type="dcterms:W3CDTF">2020-01-15T14:30:00Z</dcterms:modified>
</cp:coreProperties>
</file>