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78882" w14:textId="02218FBF" w:rsidR="00736F40" w:rsidRPr="00014A9A" w:rsidRDefault="00FE1046" w:rsidP="00014A9A">
      <w:pPr>
        <w:spacing w:after="0" w:line="240" w:lineRule="auto"/>
        <w:jc w:val="center"/>
        <w:rPr>
          <w:rFonts w:ascii="Times New Roman" w:hAnsi="Times New Roman" w:cs="Times New Roman"/>
          <w:b/>
          <w:bCs/>
          <w:sz w:val="24"/>
          <w:szCs w:val="24"/>
        </w:rPr>
      </w:pPr>
      <w:r w:rsidRPr="00014A9A">
        <w:rPr>
          <w:rFonts w:ascii="Times New Roman" w:hAnsi="Times New Roman" w:cs="Times New Roman"/>
          <w:b/>
          <w:bCs/>
          <w:sz w:val="24"/>
          <w:szCs w:val="24"/>
        </w:rPr>
        <w:t>BİREYSEL BAŞVURU NOTLAR</w:t>
      </w:r>
    </w:p>
    <w:p w14:paraId="6E87DD53" w14:textId="77777777" w:rsidR="00014A9A" w:rsidRDefault="00014A9A" w:rsidP="00014A9A">
      <w:pPr>
        <w:pStyle w:val="ListeParagraf"/>
        <w:spacing w:after="0" w:line="240" w:lineRule="auto"/>
        <w:jc w:val="center"/>
        <w:rPr>
          <w:rFonts w:ascii="Times New Roman" w:hAnsi="Times New Roman" w:cs="Times New Roman"/>
          <w:b/>
          <w:bCs/>
          <w:sz w:val="24"/>
          <w:szCs w:val="24"/>
        </w:rPr>
      </w:pPr>
    </w:p>
    <w:p w14:paraId="3A683476" w14:textId="1C406C4F" w:rsidR="00736F40" w:rsidRPr="00014A9A" w:rsidRDefault="00736F40" w:rsidP="00014A9A">
      <w:pPr>
        <w:pStyle w:val="ListeParagraf"/>
        <w:spacing w:after="0" w:line="240" w:lineRule="auto"/>
        <w:jc w:val="center"/>
        <w:rPr>
          <w:rFonts w:ascii="Times New Roman" w:hAnsi="Times New Roman" w:cs="Times New Roman"/>
          <w:b/>
          <w:bCs/>
          <w:sz w:val="24"/>
          <w:szCs w:val="24"/>
        </w:rPr>
      </w:pPr>
      <w:r w:rsidRPr="00014A9A">
        <w:rPr>
          <w:rFonts w:ascii="Times New Roman" w:hAnsi="Times New Roman" w:cs="Times New Roman"/>
          <w:b/>
          <w:bCs/>
          <w:sz w:val="24"/>
          <w:szCs w:val="24"/>
        </w:rPr>
        <w:t>BÖLÜM 1</w:t>
      </w:r>
    </w:p>
    <w:p w14:paraId="13B857FD" w14:textId="77777777" w:rsidR="00736F40" w:rsidRPr="00014A9A" w:rsidRDefault="00736F40" w:rsidP="00014A9A">
      <w:pPr>
        <w:pStyle w:val="ListeParagraf"/>
        <w:spacing w:after="0" w:line="240" w:lineRule="auto"/>
        <w:jc w:val="both"/>
        <w:rPr>
          <w:rFonts w:ascii="Times New Roman" w:hAnsi="Times New Roman" w:cs="Times New Roman"/>
          <w:b/>
          <w:bCs/>
          <w:sz w:val="24"/>
          <w:szCs w:val="24"/>
        </w:rPr>
      </w:pPr>
    </w:p>
    <w:p w14:paraId="35014AD6" w14:textId="6E8B78ED" w:rsidR="00041E47" w:rsidRPr="00014A9A" w:rsidRDefault="00041E47" w:rsidP="00014A9A">
      <w:pPr>
        <w:pStyle w:val="ListeParagraf"/>
        <w:numPr>
          <w:ilvl w:val="0"/>
          <w:numId w:val="1"/>
        </w:numPr>
        <w:spacing w:after="0" w:line="240" w:lineRule="auto"/>
        <w:jc w:val="both"/>
        <w:rPr>
          <w:rFonts w:ascii="Times New Roman" w:hAnsi="Times New Roman" w:cs="Times New Roman"/>
          <w:b/>
          <w:bCs/>
          <w:sz w:val="24"/>
          <w:szCs w:val="24"/>
        </w:rPr>
      </w:pPr>
      <w:r w:rsidRPr="00014A9A">
        <w:rPr>
          <w:rFonts w:ascii="Times New Roman" w:hAnsi="Times New Roman" w:cs="Times New Roman"/>
          <w:sz w:val="24"/>
          <w:szCs w:val="24"/>
        </w:rPr>
        <w:t>Bireysel başvuru, temel hak ve özgürlükleri kamu gücünün işlem, eylem ya da ihmali nedeniyle ihlal edilen bireylerin diğer başvuru yollarını tükettikten sonra başvurdukları istisnai ve ikincil nitelikte bir hak arama yolu olarak tanımlanabilir. 12 Eylül 2010 tarihinde yapılan halkoylaması ile 1982 Anayasası’nın yargıya ilişkin hükümlerinde önemli değişiklikler içeren 5982 sayılı Kanun kabul edilmiştir. Bu değişiklikler içinde en dikkat çekenlerden biri de 1960’lı yıllardan beri ülkemizde tartışılan bireysel başvuru hakkının yeni bir hak arama yolu olarak hukuk düzenimize girmesidir. Bundan böyle kişiler, Anayasa’da güvence altına alınmış temel hak ve özgürlüklerinden Avrupa İnsan Hakları Sözleşmesi (AİHS) kapsamındaki birinin ihlal edilmesi durumunda Anayasa Mahkemesine bireysel başvuru yapabilirler.</w:t>
      </w:r>
    </w:p>
    <w:p w14:paraId="77AB133B" w14:textId="77777777" w:rsidR="003B5414" w:rsidRPr="00014A9A" w:rsidRDefault="003B5414" w:rsidP="00014A9A">
      <w:pPr>
        <w:pStyle w:val="ListeParagraf"/>
        <w:spacing w:after="0" w:line="240" w:lineRule="auto"/>
        <w:jc w:val="both"/>
        <w:rPr>
          <w:rFonts w:ascii="Times New Roman" w:hAnsi="Times New Roman" w:cs="Times New Roman"/>
          <w:b/>
          <w:bCs/>
          <w:sz w:val="24"/>
          <w:szCs w:val="24"/>
        </w:rPr>
      </w:pPr>
    </w:p>
    <w:p w14:paraId="6E2530B0" w14:textId="790DB771" w:rsidR="00FE1046" w:rsidRPr="00014A9A" w:rsidRDefault="00FE104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G</w:t>
      </w:r>
      <w:r w:rsidRPr="00014A9A">
        <w:rPr>
          <w:rFonts w:ascii="Times New Roman" w:hAnsi="Times New Roman" w:cs="Times New Roman"/>
          <w:sz w:val="24"/>
          <w:szCs w:val="24"/>
        </w:rPr>
        <w:t>erek Anayasada gerekse 6216 sayılı Kanun’da “bireysel başvuru” teriminin tercih edildiğini görmekteyiz. Kanaatimizce bu kullanım, terimin Türk hukukundaki özelliklerini karşılamaktan uzaktır. Zira “birey” kavramı hukuk bilimi açısından kelime anlamı olarak fert, şahıs, kişi, tek kişi anlamına gelmektedir. Bu kavram dikkate alındığında ilk bakışta bireysel başvuru yoluna sadece fertlerin başvurabileceği akla gelebilir. Oysa 6216 sayılı Kanunun 46. maddesinde, özel hukuk tüzel kişilerine de sınırlı bir şekilde olsa da Anayasa Mahkemesi’ne başvuru hakkı tanınmıştır</w:t>
      </w:r>
      <w:r w:rsidRPr="00014A9A">
        <w:rPr>
          <w:rFonts w:ascii="Times New Roman" w:hAnsi="Times New Roman" w:cs="Times New Roman"/>
          <w:sz w:val="24"/>
          <w:szCs w:val="24"/>
        </w:rPr>
        <w:t xml:space="preserve">.  Bu nedenle, </w:t>
      </w:r>
      <w:r w:rsidRPr="00014A9A">
        <w:rPr>
          <w:rFonts w:ascii="Times New Roman" w:hAnsi="Times New Roman" w:cs="Times New Roman"/>
          <w:sz w:val="24"/>
          <w:szCs w:val="24"/>
        </w:rPr>
        <w:t>Anayasa Mahkemesi'ne yapılan bu başvuru yolunu ifade etmek üzere “Anayasa Mahkemesi'ne kişisel başvuru” kavramının kullanılması isabetli olurdu.</w:t>
      </w:r>
    </w:p>
    <w:p w14:paraId="1E435161" w14:textId="77777777" w:rsidR="003B5414" w:rsidRPr="00014A9A" w:rsidRDefault="003B5414" w:rsidP="00014A9A">
      <w:pPr>
        <w:pStyle w:val="ListeParagraf"/>
        <w:spacing w:after="0" w:line="240" w:lineRule="auto"/>
        <w:jc w:val="both"/>
        <w:rPr>
          <w:rFonts w:ascii="Times New Roman" w:hAnsi="Times New Roman" w:cs="Times New Roman"/>
          <w:sz w:val="24"/>
          <w:szCs w:val="24"/>
        </w:rPr>
      </w:pPr>
    </w:p>
    <w:p w14:paraId="55B3240C" w14:textId="6F18E44B" w:rsidR="00041E47" w:rsidRPr="00014A9A" w:rsidRDefault="00041E47"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 kurumu, uygulama kapsamı ülkeden ülkeye farklılık gösterse de başta Almanya, Avusturya, İspanya, Macaristan, Polonya, Çek Cumhuriyeti, Slovak Cumhuriyeti, İsviçre, Belçika, Rusya, Meksika, Brezilya, Arjantin ile diğer Latin Amerika ülkeleri olmak üzere, Doğu Avrupa ülkelerinin çoğunda ve Güney Kore gibi 40’tan fazla ülkede uygulanmaktadır.</w:t>
      </w:r>
    </w:p>
    <w:p w14:paraId="134C3EFB" w14:textId="77777777" w:rsidR="00041E47" w:rsidRPr="00014A9A" w:rsidRDefault="00041E47" w:rsidP="00014A9A">
      <w:pPr>
        <w:pStyle w:val="ListeParagraf"/>
        <w:spacing w:after="0" w:line="240" w:lineRule="auto"/>
        <w:jc w:val="both"/>
        <w:rPr>
          <w:rFonts w:ascii="Times New Roman" w:hAnsi="Times New Roman" w:cs="Times New Roman"/>
          <w:sz w:val="24"/>
          <w:szCs w:val="24"/>
        </w:rPr>
      </w:pPr>
    </w:p>
    <w:p w14:paraId="497A38DF" w14:textId="09AA5002" w:rsidR="00FE1046" w:rsidRDefault="00FE104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başvurunun belirleyici özelliği, kişinin anayasa mahkemesine başvurusunun dolaysız olarak sağlanmasıdır</w:t>
      </w:r>
      <w:r w:rsidRPr="00014A9A">
        <w:rPr>
          <w:rFonts w:ascii="Times New Roman" w:hAnsi="Times New Roman" w:cs="Times New Roman"/>
          <w:sz w:val="24"/>
          <w:szCs w:val="24"/>
        </w:rPr>
        <w:t>.</w:t>
      </w:r>
    </w:p>
    <w:p w14:paraId="65CC106D" w14:textId="77777777" w:rsidR="00014A9A" w:rsidRPr="00014A9A" w:rsidRDefault="00014A9A" w:rsidP="00014A9A">
      <w:pPr>
        <w:pStyle w:val="ListeParagraf"/>
        <w:spacing w:after="0" w:line="240" w:lineRule="auto"/>
        <w:jc w:val="both"/>
        <w:rPr>
          <w:rFonts w:ascii="Times New Roman" w:hAnsi="Times New Roman" w:cs="Times New Roman"/>
          <w:sz w:val="24"/>
          <w:szCs w:val="24"/>
        </w:rPr>
      </w:pPr>
    </w:p>
    <w:p w14:paraId="50A381B4" w14:textId="7BDF744F" w:rsidR="00FE1046" w:rsidRDefault="00FE104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Anayasa Mahkemesi’ne bireysel başvuru, kamu gücü tarafından temel hak ve özgürlükleri ihlal edilen bireylerin, hak arama yollarını tüketmesi üzerine iç hukukta başvurabilecekleri ikincil bir hukuki çaredir. Bireysel başvuru kurumunun ikincil niteliği gereği, usul hukukunda öngörülen gerekli tüm kanun yollarının tüketilmesi gerekmektedir. Birey öncelikle genel yargı kolları içerisinde bir sonuç almaya çalışacak, hak aramasında amacına ulaşamaması halinde ise ancak bu aşamadan sonra Anayasa Mahkemesi’ne başvurabilecektir</w:t>
      </w:r>
      <w:r w:rsidRPr="00014A9A">
        <w:rPr>
          <w:rFonts w:ascii="Times New Roman" w:hAnsi="Times New Roman" w:cs="Times New Roman"/>
          <w:sz w:val="24"/>
          <w:szCs w:val="24"/>
        </w:rPr>
        <w:t>.</w:t>
      </w:r>
    </w:p>
    <w:p w14:paraId="467DF069" w14:textId="77777777" w:rsidR="00014A9A" w:rsidRPr="00014A9A" w:rsidRDefault="00014A9A" w:rsidP="00014A9A">
      <w:pPr>
        <w:pStyle w:val="ListeParagraf"/>
        <w:spacing w:after="0" w:line="240" w:lineRule="auto"/>
        <w:jc w:val="both"/>
        <w:rPr>
          <w:rFonts w:ascii="Times New Roman" w:hAnsi="Times New Roman" w:cs="Times New Roman"/>
          <w:sz w:val="24"/>
          <w:szCs w:val="24"/>
        </w:rPr>
      </w:pPr>
    </w:p>
    <w:p w14:paraId="7090C784" w14:textId="63B53A46" w:rsidR="00FE1046" w:rsidRDefault="00FE104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başvurunun ikincil nitelikte olmasının kabul edilebilirlik kriterleri açısından önemli bir hukuki sonucu vardır. Şöyle ki; “ikincil yetki” ilkesi gereğince, başvurucularca olağan mahkemeler önünde gündeme getirilmeyen hak ihlallerine yönelik şikâyetler Anayasa Mahkemesi önünde de ileri sürülemeyecektir</w:t>
      </w:r>
      <w:r w:rsidRPr="00014A9A">
        <w:rPr>
          <w:rFonts w:ascii="Times New Roman" w:hAnsi="Times New Roman" w:cs="Times New Roman"/>
          <w:sz w:val="24"/>
          <w:szCs w:val="24"/>
        </w:rPr>
        <w:t>.</w:t>
      </w:r>
    </w:p>
    <w:p w14:paraId="3A8978EE" w14:textId="77777777" w:rsidR="00014A9A" w:rsidRPr="00014A9A" w:rsidRDefault="00014A9A" w:rsidP="00014A9A">
      <w:pPr>
        <w:spacing w:after="0" w:line="240" w:lineRule="auto"/>
        <w:jc w:val="both"/>
        <w:rPr>
          <w:rFonts w:ascii="Times New Roman" w:hAnsi="Times New Roman" w:cs="Times New Roman"/>
          <w:sz w:val="24"/>
          <w:szCs w:val="24"/>
        </w:rPr>
      </w:pPr>
    </w:p>
    <w:p w14:paraId="40CF774A" w14:textId="52C148E9" w:rsidR="00FE1046" w:rsidRPr="00014A9A" w:rsidRDefault="00FE104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Anayasa Mahkemesi, genel mahkemelerin kararlarını bütün hukuka aykırılık değerlendirmeleri açısından incelemeye yetkili olan tabiri caizse “süper yetkili” bir temyiz makamı olarak görülmemelidir. </w:t>
      </w:r>
    </w:p>
    <w:p w14:paraId="1E22F083" w14:textId="006FE89D" w:rsidR="00FE1046" w:rsidRDefault="00FE104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lastRenderedPageBreak/>
        <w:t>Anayasa Mahkemesi'ne bireysel başvuru yönteminin birincil ve esas amacı kişilerin temel hak ve hürriyetlerini dolaysız olarak korumak ve kamu gücünün ihlallerini bertaraf etmektir.</w:t>
      </w:r>
      <w:r w:rsidRPr="00014A9A">
        <w:rPr>
          <w:rFonts w:ascii="Times New Roman" w:hAnsi="Times New Roman" w:cs="Times New Roman"/>
          <w:sz w:val="24"/>
          <w:szCs w:val="24"/>
        </w:rPr>
        <w:t xml:space="preserve"> Bu bireysel başvurunun sübjektif işlevidir.</w:t>
      </w:r>
    </w:p>
    <w:p w14:paraId="603B8E59" w14:textId="77777777" w:rsidR="00014A9A" w:rsidRPr="00014A9A" w:rsidRDefault="00014A9A" w:rsidP="00014A9A">
      <w:pPr>
        <w:pStyle w:val="ListeParagraf"/>
        <w:spacing w:after="0" w:line="240" w:lineRule="auto"/>
        <w:jc w:val="both"/>
        <w:rPr>
          <w:rFonts w:ascii="Times New Roman" w:hAnsi="Times New Roman" w:cs="Times New Roman"/>
          <w:sz w:val="24"/>
          <w:szCs w:val="24"/>
        </w:rPr>
      </w:pPr>
    </w:p>
    <w:p w14:paraId="1FE8322F" w14:textId="67D0D8D4" w:rsidR="00FE1046" w:rsidRDefault="00701988"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başvurunun objektif işlevi; Anayasa Mahkemesi'nin kişilerin haklarını korumak için verdiği sübjektif nitelikteki kararların genel anayasal düzenin korunması ve içtihatların geliştirilmesi ve kamu organlarına işlem ve eylemlerinde yol göstermesi gibi bazı objektif sonuçlara yol açmasıdır.</w:t>
      </w:r>
      <w:r w:rsidRPr="00014A9A">
        <w:rPr>
          <w:rFonts w:ascii="Times New Roman" w:hAnsi="Times New Roman" w:cs="Times New Roman"/>
          <w:sz w:val="24"/>
          <w:szCs w:val="24"/>
        </w:rPr>
        <w:t xml:space="preserve"> B</w:t>
      </w:r>
      <w:r w:rsidRPr="00014A9A">
        <w:rPr>
          <w:rFonts w:ascii="Times New Roman" w:hAnsi="Times New Roman" w:cs="Times New Roman"/>
          <w:sz w:val="24"/>
          <w:szCs w:val="24"/>
        </w:rPr>
        <w:t>ireysel başvurunun en önemli objektif işlevi temel hak ve hürriyetlerin yorumunda hukuk uygulayıcılarına ve kamu gücünü kullanan sair organlara yol gösterici nitelikte olmasıdır.</w:t>
      </w:r>
    </w:p>
    <w:p w14:paraId="521B22EB" w14:textId="77777777" w:rsidR="00014A9A" w:rsidRPr="00014A9A" w:rsidRDefault="00014A9A" w:rsidP="00014A9A">
      <w:pPr>
        <w:spacing w:after="0" w:line="240" w:lineRule="auto"/>
        <w:jc w:val="both"/>
        <w:rPr>
          <w:rFonts w:ascii="Times New Roman" w:hAnsi="Times New Roman" w:cs="Times New Roman"/>
          <w:sz w:val="24"/>
          <w:szCs w:val="24"/>
        </w:rPr>
      </w:pPr>
    </w:p>
    <w:p w14:paraId="6B730CF8" w14:textId="149887FC" w:rsidR="00701988" w:rsidRDefault="00701988"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Bireysel başvuru mekanizmasının en önemli fonksiyonlarından biri, Avrupa İnsan Hakları Mahkemesi’ne ülke aleyhine yapılacak başvuruları büyük oranda </w:t>
      </w:r>
      <w:r w:rsidRPr="00014A9A">
        <w:rPr>
          <w:rFonts w:ascii="Times New Roman" w:hAnsi="Times New Roman" w:cs="Times New Roman"/>
          <w:sz w:val="24"/>
          <w:szCs w:val="24"/>
        </w:rPr>
        <w:t xml:space="preserve">azaltmasıdır. Bu bireysel başvurunun </w:t>
      </w:r>
      <w:r w:rsidR="001A35F1" w:rsidRPr="00014A9A">
        <w:rPr>
          <w:rFonts w:ascii="Times New Roman" w:hAnsi="Times New Roman" w:cs="Times New Roman"/>
          <w:sz w:val="24"/>
          <w:szCs w:val="24"/>
        </w:rPr>
        <w:t>filtre işlevidir.</w:t>
      </w:r>
      <w:r w:rsidR="00041E47" w:rsidRPr="00014A9A">
        <w:rPr>
          <w:rFonts w:ascii="Times New Roman" w:hAnsi="Times New Roman" w:cs="Times New Roman"/>
          <w:sz w:val="24"/>
          <w:szCs w:val="24"/>
        </w:rPr>
        <w:t xml:space="preserve"> </w:t>
      </w:r>
      <w:r w:rsidR="00041E47" w:rsidRPr="00014A9A">
        <w:rPr>
          <w:rFonts w:ascii="Times New Roman" w:hAnsi="Times New Roman" w:cs="Times New Roman"/>
          <w:sz w:val="24"/>
          <w:szCs w:val="24"/>
        </w:rPr>
        <w:t>Bireysel başvuru kurumunun kabul edilmesindeki en önemli amaç, temel hak ihlallerinin iç hukukta ortadan kaldırılması ve buna bağlı olarak ülkemiz aleyhine Avrupa İnsan Hakları Mahkemesine (AİHM) yapılan başvuruların sayısının azaltılmasıdır. Avrupa Konseyine üye diğer ülkelerin istatistiklerine bakıldığında, iç hukukunda etkin bireysel başvuru yolu bulunan ülkeler aleyhine açılmış AİHM önünde çok az sayıda dava olduğu görülmektedir.</w:t>
      </w:r>
    </w:p>
    <w:p w14:paraId="3AA58073" w14:textId="77777777" w:rsidR="00014A9A" w:rsidRPr="00014A9A" w:rsidRDefault="00014A9A" w:rsidP="00014A9A">
      <w:pPr>
        <w:spacing w:after="0" w:line="240" w:lineRule="auto"/>
        <w:jc w:val="both"/>
        <w:rPr>
          <w:rFonts w:ascii="Times New Roman" w:hAnsi="Times New Roman" w:cs="Times New Roman"/>
          <w:sz w:val="24"/>
          <w:szCs w:val="24"/>
        </w:rPr>
      </w:pPr>
    </w:p>
    <w:p w14:paraId="234C4ACF" w14:textId="4F461E7B" w:rsidR="00675C03" w:rsidRDefault="001A35F1"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w:t>
      </w:r>
      <w:r w:rsidRPr="00014A9A">
        <w:rPr>
          <w:rFonts w:ascii="Times New Roman" w:hAnsi="Times New Roman" w:cs="Times New Roman"/>
          <w:sz w:val="24"/>
          <w:szCs w:val="24"/>
        </w:rPr>
        <w:t xml:space="preserve"> başvuru kurumu ile temel hak ve hürriyetlerin korunması konusunda vatandaşlar doğrudan başvurabilecekleri bir mekanizmaya sahip olmaktadırlar. Böylece vatandaşlarda anayasal hak sahibi olma ve demokrasi bilinci gelişmektedir</w:t>
      </w:r>
      <w:r w:rsidRPr="00014A9A">
        <w:rPr>
          <w:rFonts w:ascii="Times New Roman" w:hAnsi="Times New Roman" w:cs="Times New Roman"/>
          <w:sz w:val="24"/>
          <w:szCs w:val="24"/>
        </w:rPr>
        <w:t>.</w:t>
      </w:r>
    </w:p>
    <w:p w14:paraId="500C3AE3" w14:textId="77777777" w:rsidR="00014A9A" w:rsidRPr="00014A9A" w:rsidRDefault="00014A9A" w:rsidP="00014A9A">
      <w:pPr>
        <w:spacing w:after="0" w:line="240" w:lineRule="auto"/>
        <w:jc w:val="both"/>
        <w:rPr>
          <w:rFonts w:ascii="Times New Roman" w:hAnsi="Times New Roman" w:cs="Times New Roman"/>
          <w:sz w:val="24"/>
          <w:szCs w:val="24"/>
        </w:rPr>
      </w:pPr>
    </w:p>
    <w:p w14:paraId="3CA95254" w14:textId="1A2F6C87" w:rsidR="005725CE" w:rsidRPr="00014A9A" w:rsidRDefault="005725CE"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Anayasa Mahkemesinin kişi yönünden yetkisi, bireysel başvuruya kimlerin başvurabileceği hususu ile ilgilidir. </w:t>
      </w:r>
      <w:r w:rsidR="00EF744F" w:rsidRPr="00014A9A">
        <w:rPr>
          <w:rFonts w:ascii="Times New Roman" w:hAnsi="Times New Roman" w:cs="Times New Roman"/>
          <w:sz w:val="24"/>
          <w:szCs w:val="24"/>
        </w:rPr>
        <w:t>Anayasa ve Anayasa Mahkemesinin Kuruluşu ve Yargılama Usulleri Hakkında Kanun’a göre, kamu gücünün bir işlemi nedeniyle “Anayasada güvence altına alınmış temel hak ve özgürlüklerinden, Avrupa İnsan Hakları Sözleşmesi kapsamındaki herhangi birinin” ihlal edildiğini iddia eden “herkes” bireysel başvuru hakkına sahiptir. Ancak “herkes” ifadesinin bireysel başvurunun niteliğinden kaynaklanan bazı sınırları vardır</w:t>
      </w:r>
      <w:r w:rsidR="000171CC" w:rsidRPr="00014A9A">
        <w:rPr>
          <w:rFonts w:ascii="Times New Roman" w:hAnsi="Times New Roman" w:cs="Times New Roman"/>
          <w:sz w:val="24"/>
          <w:szCs w:val="24"/>
        </w:rPr>
        <w:t>.</w:t>
      </w:r>
    </w:p>
    <w:p w14:paraId="03F7CD3A" w14:textId="77777777" w:rsidR="000171CC" w:rsidRPr="00014A9A" w:rsidRDefault="000171CC" w:rsidP="00014A9A">
      <w:pPr>
        <w:pStyle w:val="ListeParagraf"/>
        <w:spacing w:after="0" w:line="240" w:lineRule="auto"/>
        <w:jc w:val="both"/>
        <w:rPr>
          <w:rFonts w:ascii="Times New Roman" w:hAnsi="Times New Roman" w:cs="Times New Roman"/>
          <w:sz w:val="24"/>
          <w:szCs w:val="24"/>
        </w:rPr>
      </w:pPr>
    </w:p>
    <w:p w14:paraId="37E26429" w14:textId="094F29D1" w:rsidR="000171CC" w:rsidRPr="00014A9A" w:rsidRDefault="000171C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Yabancılar için başvuru hakkı sadece yabancılara tanınan haklarla sınırlı olarak kabul edilmiştir: “Yalnızca Türk vatandaşlarına tanınan haklarla ilgili olarak yabancılar bireysel başvuru yapamaz”</w:t>
      </w: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Özel hukuk tüzel kişileri örgütlenme hürriyeti veya hak arama hürriyeti bağlamında sadece tüzel kişiliğe ait haklarının ihlal edildiği gerekçesiyle bireysel başvuruda bulunabilir. Bunların kendi üyelerinin haklarını savunmak amacıyla başvuruda bulunmaları kabul edilmemiştir. Kamu gücünün sağladığı ayrıcalık ve yükümlülükleri kullanan kamu tüzel kişilerine ise bireysel başvuru hakkı tanınmamıştır.</w:t>
      </w:r>
    </w:p>
    <w:p w14:paraId="58391AA0" w14:textId="77777777" w:rsidR="00804263" w:rsidRPr="00014A9A" w:rsidRDefault="00804263" w:rsidP="00014A9A">
      <w:pPr>
        <w:pStyle w:val="ListeParagraf"/>
        <w:spacing w:after="0" w:line="240" w:lineRule="auto"/>
        <w:jc w:val="both"/>
        <w:rPr>
          <w:rFonts w:ascii="Times New Roman" w:hAnsi="Times New Roman" w:cs="Times New Roman"/>
          <w:sz w:val="24"/>
          <w:szCs w:val="24"/>
        </w:rPr>
      </w:pPr>
    </w:p>
    <w:p w14:paraId="5A00B60F" w14:textId="5877BA4D" w:rsidR="00804263" w:rsidRDefault="00804263"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 ancak ihlale yol açtığı ileri sürülen işlem, eylem ya da ihmal nedeniyle güncel ve kişisel bir hakkı doğrudan etkilenenler tarafından yapılabilir”. Bireysel başvuru yoluna, yalnızca temel hakkın ihlalinden şahsen mağdur durumda bulunan kişi gidebilecektir. Dolayısıyla bireysel başvuru, bir yurttaş başvurusu (actio popularis) olarak tasarlanmamıştır. Çünkü yurttaş başvurusunda kişiler hakkı ihlal edilsin veya edilmesin bir kanunun anayasaya aykırılığı iddiasını anayasa mahkemeleri önüne taşıyabilmektedirler.</w:t>
      </w:r>
    </w:p>
    <w:p w14:paraId="0432F750" w14:textId="77777777" w:rsidR="00014A9A" w:rsidRPr="00014A9A" w:rsidRDefault="00014A9A" w:rsidP="00014A9A">
      <w:pPr>
        <w:spacing w:after="0" w:line="240" w:lineRule="auto"/>
        <w:jc w:val="both"/>
        <w:rPr>
          <w:rFonts w:ascii="Times New Roman" w:hAnsi="Times New Roman" w:cs="Times New Roman"/>
          <w:sz w:val="24"/>
          <w:szCs w:val="24"/>
        </w:rPr>
      </w:pPr>
    </w:p>
    <w:p w14:paraId="100990B2" w14:textId="5D835CDA" w:rsidR="00804263" w:rsidRPr="00014A9A" w:rsidRDefault="00804263"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lastRenderedPageBreak/>
        <w:t>Güncellik adı verilen bu kritere göre hak ihlalinin temelinde bulunduğu iddia edilen işlemin başvuru anında mevcut olması, başvuru anında var olan bir tehlikeyi işaret etmesi gerekir. Kişiler bu bağlamda kendilerine hiçbir zaman uygulanmamış ve uygulanma ihtimali olmayan işlemleri bireysel başvuru konusu edemezler</w:t>
      </w:r>
      <w:r w:rsidRPr="00014A9A">
        <w:rPr>
          <w:rFonts w:ascii="Times New Roman" w:hAnsi="Times New Roman" w:cs="Times New Roman"/>
          <w:sz w:val="24"/>
          <w:szCs w:val="24"/>
        </w:rPr>
        <w:t>.</w:t>
      </w:r>
    </w:p>
    <w:p w14:paraId="347738DA" w14:textId="77777777" w:rsidR="00804263" w:rsidRPr="00014A9A" w:rsidRDefault="00804263" w:rsidP="00014A9A">
      <w:pPr>
        <w:pStyle w:val="ListeParagraf"/>
        <w:spacing w:after="0" w:line="240" w:lineRule="auto"/>
        <w:jc w:val="both"/>
        <w:rPr>
          <w:rFonts w:ascii="Times New Roman" w:hAnsi="Times New Roman" w:cs="Times New Roman"/>
          <w:sz w:val="24"/>
          <w:szCs w:val="24"/>
        </w:rPr>
      </w:pPr>
    </w:p>
    <w:p w14:paraId="2E34A3A8" w14:textId="07CCC7DD" w:rsidR="00804263" w:rsidRPr="00014A9A" w:rsidRDefault="00804263"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Doğrudanlık ilkesi olarak adlandırılan bu durum ile temel hak ihlalinin doğrudan bireysel başvuruya konu olan eylem veya işlem tarafından gerçekleştirilmesi, başka bir karara veya işleme gerek kalmaksızın onun başvuranın bir hakkını etkiliyor olması anlatılmaktadır</w:t>
      </w:r>
      <w:r w:rsidRPr="00014A9A">
        <w:rPr>
          <w:rFonts w:ascii="Times New Roman" w:hAnsi="Times New Roman" w:cs="Times New Roman"/>
          <w:sz w:val="24"/>
          <w:szCs w:val="24"/>
        </w:rPr>
        <w:t>.</w:t>
      </w:r>
    </w:p>
    <w:p w14:paraId="4483D68B" w14:textId="77777777" w:rsidR="0086598F" w:rsidRPr="00014A9A" w:rsidRDefault="0086598F" w:rsidP="00014A9A">
      <w:pPr>
        <w:pStyle w:val="ListeParagraf"/>
        <w:spacing w:after="0" w:line="240" w:lineRule="auto"/>
        <w:jc w:val="both"/>
        <w:rPr>
          <w:rFonts w:ascii="Times New Roman" w:hAnsi="Times New Roman" w:cs="Times New Roman"/>
          <w:sz w:val="24"/>
          <w:szCs w:val="24"/>
        </w:rPr>
      </w:pPr>
    </w:p>
    <w:p w14:paraId="1C6AB3E3" w14:textId="1E36D6A7" w:rsidR="0086598F" w:rsidRPr="00014A9A" w:rsidRDefault="0086598F"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 Anayasa’da yer alan temel hak ve özgürlüklerinden Avrupa İnsan Hakları Sözleşmesi ve buna ek Türkiye’nin taraf olduğu Protokoller kapsamındaki herhangi birinin kamu gücü tarafından ihlalinden dolayı mağdur olduğunu iddia eden kişiler tarafından yapılabilir. Örneğin yaşama hakkı, işkence ve eziyet yasağı, zorla çalıştırma yasağı, kişi hürriyeti ve güvenliği, hak arama hürriyeti, suç ve cezaların kanuniliği, özel hayata, aile hayatına, konut ve haberleşmeye saygı, düşünce, din ve vicdan hürriyeti, düşünceyi açıklama ve yayma hürriyeti, toplantı ve örgütlenme hürriyeti, mülkiyet hakkı, serbest seçim hakkı, temel hak ve hürriyetlerin korunması, eğitim ve öğretim hakkı ve ödevi, eşitlik ve etkili başvuru hakkı bu kapsamda sayılabilecek haklardandır.</w:t>
      </w:r>
    </w:p>
    <w:p w14:paraId="6B2EE701" w14:textId="77777777" w:rsidR="00223E7B" w:rsidRPr="00014A9A" w:rsidRDefault="00223E7B" w:rsidP="00014A9A">
      <w:pPr>
        <w:pStyle w:val="ListeParagraf"/>
        <w:spacing w:after="0" w:line="240" w:lineRule="auto"/>
        <w:jc w:val="both"/>
        <w:rPr>
          <w:rFonts w:ascii="Times New Roman" w:hAnsi="Times New Roman" w:cs="Times New Roman"/>
          <w:sz w:val="24"/>
          <w:szCs w:val="24"/>
        </w:rPr>
      </w:pPr>
    </w:p>
    <w:p w14:paraId="060AE63A" w14:textId="20CBD826" w:rsidR="00223E7B" w:rsidRDefault="00223E7B"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Türkiye’nin imzalayıp onayladığı ve yürürlüğe koyduğu ek protokollerce güvence altına alınan temel hak ve özgürlüklerin bireysel başvurunun konusunu teşkil ettiği noktasında şüphe yoktur. </w:t>
      </w:r>
      <w:r w:rsidRPr="00014A9A">
        <w:rPr>
          <w:rFonts w:ascii="Times New Roman" w:hAnsi="Times New Roman" w:cs="Times New Roman"/>
          <w:sz w:val="24"/>
          <w:szCs w:val="24"/>
        </w:rPr>
        <w:t xml:space="preserve">Fakat imzalanıp onaylanmayan veya onaylanıp, onay belgesinin </w:t>
      </w:r>
      <w:r w:rsidRPr="00014A9A">
        <w:rPr>
          <w:rFonts w:ascii="Times New Roman" w:hAnsi="Times New Roman" w:cs="Times New Roman"/>
          <w:sz w:val="24"/>
          <w:szCs w:val="24"/>
        </w:rPr>
        <w:t>Avrupa Konseyi Genel sekreterine ver</w:t>
      </w:r>
      <w:r w:rsidRPr="00014A9A">
        <w:rPr>
          <w:rFonts w:ascii="Times New Roman" w:hAnsi="Times New Roman" w:cs="Times New Roman"/>
          <w:sz w:val="24"/>
          <w:szCs w:val="24"/>
        </w:rPr>
        <w:t xml:space="preserve">ilmemiş protokoller açısından bir değerlendirme yapılmalıdır. </w:t>
      </w:r>
      <w:r w:rsidRPr="00014A9A">
        <w:rPr>
          <w:rFonts w:ascii="Times New Roman" w:hAnsi="Times New Roman" w:cs="Times New Roman"/>
          <w:sz w:val="24"/>
          <w:szCs w:val="24"/>
        </w:rPr>
        <w:t xml:space="preserve"> AİHS’nin 59. maddesine göre AİHS ve ek protokollerin üye ülkeler açısından geçerlilik kazanabilmesi için birbirini bütünleyen üç işlemin gerçekleşmesi gerekmektedir. (1) Sözleşme veya protokolün üye ülkelerce imzalanması (2) İmzalanan belgelerin o ülkenin ulusal yöntemlerine göre onaylanması ve (3) Onaylama belgelerinin Avrupa Konseyi Genel Sekreteri’ne verilmesi.</w:t>
      </w:r>
      <w:r w:rsidRPr="00014A9A">
        <w:rPr>
          <w:rFonts w:ascii="Times New Roman" w:hAnsi="Times New Roman" w:cs="Times New Roman"/>
          <w:sz w:val="24"/>
          <w:szCs w:val="24"/>
        </w:rPr>
        <w:t xml:space="preserve"> Üç işlemin de taraf olma açısından gerçekleşmesi gerekmektedir.</w:t>
      </w:r>
    </w:p>
    <w:p w14:paraId="2512FFD9" w14:textId="77777777" w:rsidR="00014A9A" w:rsidRPr="00014A9A" w:rsidRDefault="00014A9A" w:rsidP="00014A9A">
      <w:pPr>
        <w:spacing w:after="0" w:line="240" w:lineRule="auto"/>
        <w:jc w:val="both"/>
        <w:rPr>
          <w:rFonts w:ascii="Times New Roman" w:hAnsi="Times New Roman" w:cs="Times New Roman"/>
          <w:sz w:val="24"/>
          <w:szCs w:val="24"/>
        </w:rPr>
      </w:pPr>
    </w:p>
    <w:p w14:paraId="617FF824" w14:textId="472FE8F8" w:rsidR="000171CC" w:rsidRDefault="000171C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 ihlale neden olduğu ileri sürülen kamu gücü işlemleri aleyhine yapılabilir. Bireysel başvuru konusu kamu gücü davranışı bir eylem ya da işlem şeklinde olumlu bir davranış olabileceği gibi, yapılması gereken bir işlem ya da eylemin yapılmaması biçiminde olumsuz bir davranış da olabilecektir.</w:t>
      </w:r>
    </w:p>
    <w:p w14:paraId="140950A8" w14:textId="77777777" w:rsidR="009E4672" w:rsidRPr="009E4672" w:rsidRDefault="009E4672" w:rsidP="009E4672">
      <w:pPr>
        <w:spacing w:after="0" w:line="240" w:lineRule="auto"/>
        <w:jc w:val="both"/>
        <w:rPr>
          <w:rFonts w:ascii="Times New Roman" w:hAnsi="Times New Roman" w:cs="Times New Roman"/>
          <w:sz w:val="24"/>
          <w:szCs w:val="24"/>
        </w:rPr>
      </w:pPr>
    </w:p>
    <w:p w14:paraId="08080CDE" w14:textId="35FBABF5" w:rsidR="000171CC" w:rsidRDefault="000171C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 xml:space="preserve">Yasama işlemleri (kanun, içtüzük vb.) ile idarenin düzenleyici işlemleri (tüzük, </w:t>
      </w:r>
      <w:r w:rsidRPr="00014A9A">
        <w:rPr>
          <w:rFonts w:ascii="Times New Roman" w:hAnsi="Times New Roman" w:cs="Times New Roman"/>
          <w:sz w:val="24"/>
          <w:szCs w:val="24"/>
        </w:rPr>
        <w:t xml:space="preserve">CB kararnamesi, </w:t>
      </w:r>
      <w:r w:rsidRPr="00014A9A">
        <w:rPr>
          <w:rFonts w:ascii="Times New Roman" w:hAnsi="Times New Roman" w:cs="Times New Roman"/>
          <w:sz w:val="24"/>
          <w:szCs w:val="24"/>
        </w:rPr>
        <w:t>yönetmelik vb.) doğrudan bireysel başvuruya konu edilemez. Ancak bu durum, yasama işlemi ya da düzenleyici işlemin kişiye uygulanması ve bunun da bir hak ihlaline yol açması hâlinde söz konusu uygulama işlemi aleyhine bireysel başvuru yapılmasına engel oluşturmamaktadır.</w:t>
      </w:r>
    </w:p>
    <w:p w14:paraId="1300B2D8" w14:textId="77777777" w:rsidR="00014A9A" w:rsidRPr="00014A9A" w:rsidRDefault="00014A9A" w:rsidP="00014A9A">
      <w:pPr>
        <w:spacing w:after="0" w:line="240" w:lineRule="auto"/>
        <w:ind w:left="360"/>
        <w:jc w:val="both"/>
        <w:rPr>
          <w:rFonts w:ascii="Times New Roman" w:hAnsi="Times New Roman" w:cs="Times New Roman"/>
          <w:sz w:val="24"/>
          <w:szCs w:val="24"/>
        </w:rPr>
      </w:pPr>
    </w:p>
    <w:p w14:paraId="0728057D" w14:textId="4C39BA84" w:rsidR="000171CC" w:rsidRDefault="000171C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Anayasa Mahkemesi kararları ile Anayasa’nın yargı denetimi dışında bıraktığı işlemler aleyhine hiçbir şekilde bireysel başvuru yapılamaz.</w:t>
      </w:r>
    </w:p>
    <w:p w14:paraId="5DB5470C" w14:textId="77777777" w:rsidR="00014A9A" w:rsidRPr="00014A9A" w:rsidRDefault="00014A9A" w:rsidP="00014A9A">
      <w:pPr>
        <w:spacing w:after="0" w:line="240" w:lineRule="auto"/>
        <w:jc w:val="both"/>
        <w:rPr>
          <w:rFonts w:ascii="Times New Roman" w:hAnsi="Times New Roman" w:cs="Times New Roman"/>
          <w:sz w:val="24"/>
          <w:szCs w:val="24"/>
        </w:rPr>
      </w:pPr>
    </w:p>
    <w:p w14:paraId="5434F09C" w14:textId="2B57731E" w:rsidR="000171CC" w:rsidRDefault="00804263"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Temel anayasal haklarından birinin ihlal edildiğini iddia eden herkes, ilk önce bu alanda asıl görevli olan diğer idari ve yargısal mekanizmaları harekete geçirecek ve burada bir çözüm bulamaması hâlinde, iddiasını Anayasa Mahkemesi önüne taşıyabilecektir. Bu nedenle kişilere bu yola başvurmadan önce ihlale neden olduğunu ileri sürdükleri işlem, </w:t>
      </w:r>
      <w:r w:rsidRPr="00014A9A">
        <w:rPr>
          <w:rFonts w:ascii="Times New Roman" w:hAnsi="Times New Roman" w:cs="Times New Roman"/>
          <w:sz w:val="24"/>
          <w:szCs w:val="24"/>
        </w:rPr>
        <w:lastRenderedPageBreak/>
        <w:t>eylem ya da ihmal için “kanunda öngörülmüş idarî ve yargısal başvuru yollarının tamamını” tüketmiş olmaları zorunluluğu getirilmiştir.</w:t>
      </w:r>
    </w:p>
    <w:p w14:paraId="54E80B95" w14:textId="77777777" w:rsidR="00014A9A" w:rsidRPr="00014A9A" w:rsidRDefault="00014A9A" w:rsidP="00014A9A">
      <w:pPr>
        <w:spacing w:after="0" w:line="240" w:lineRule="auto"/>
        <w:jc w:val="both"/>
        <w:rPr>
          <w:rFonts w:ascii="Times New Roman" w:hAnsi="Times New Roman" w:cs="Times New Roman"/>
          <w:sz w:val="24"/>
          <w:szCs w:val="24"/>
        </w:rPr>
      </w:pPr>
    </w:p>
    <w:p w14:paraId="77FCFBFE" w14:textId="3761B390" w:rsidR="00415366" w:rsidRDefault="00223E7B"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Kanun yolları, olağan ve olağanüstü kanun yolu olmak üzere gelenekselleşmiş ikili bir ayrıma tabi tutulur. Henüz kesinleşmemiş kararlara karşı olağan kanun yoluna başvurulurken, şekli anlamda kesinleşmiş kararlara karşı ise olağanüstü kanun yoluna başvurulmaktadır</w:t>
      </w:r>
      <w:r w:rsidR="00415366" w:rsidRPr="00014A9A">
        <w:rPr>
          <w:rFonts w:ascii="Times New Roman" w:hAnsi="Times New Roman" w:cs="Times New Roman"/>
          <w:sz w:val="24"/>
          <w:szCs w:val="24"/>
        </w:rPr>
        <w:t>.</w:t>
      </w:r>
    </w:p>
    <w:p w14:paraId="3A3262F2" w14:textId="77777777" w:rsidR="00014A9A" w:rsidRPr="00014A9A" w:rsidRDefault="00014A9A" w:rsidP="00014A9A">
      <w:pPr>
        <w:spacing w:after="0" w:line="240" w:lineRule="auto"/>
        <w:jc w:val="both"/>
        <w:rPr>
          <w:rFonts w:ascii="Times New Roman" w:hAnsi="Times New Roman" w:cs="Times New Roman"/>
          <w:sz w:val="24"/>
          <w:szCs w:val="24"/>
        </w:rPr>
      </w:pPr>
    </w:p>
    <w:p w14:paraId="06FE0497" w14:textId="68374F81" w:rsidR="00223E7B" w:rsidRDefault="00223E7B"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Olağan kanun yolları medeni yargılamada istinaf ve temyiz; ceza yargılamasında itiraz, istinaf ve temyiz; idari yargılamada ise istinaf ve temyizdir. Olağanüstü kanun yolları ise medeni yargılamada yargılamanın iadesi; ceza yargılamasında Yargıtay Cumhuriyet Başsavcısının itirazı, kanun yararına bozma ve yargılamanın yenilenmesi; idari yargılamada kanun yararına temyiz ve yargılamanın yenilenmesidir.</w:t>
      </w:r>
    </w:p>
    <w:p w14:paraId="2CF1F543" w14:textId="77777777" w:rsidR="00014A9A" w:rsidRPr="00014A9A" w:rsidRDefault="00014A9A" w:rsidP="00014A9A">
      <w:pPr>
        <w:spacing w:after="0" w:line="240" w:lineRule="auto"/>
        <w:jc w:val="both"/>
        <w:rPr>
          <w:rFonts w:ascii="Times New Roman" w:hAnsi="Times New Roman" w:cs="Times New Roman"/>
          <w:sz w:val="24"/>
          <w:szCs w:val="24"/>
        </w:rPr>
      </w:pPr>
    </w:p>
    <w:p w14:paraId="5B9E231E" w14:textId="33B39E49" w:rsidR="00415366" w:rsidRDefault="0041536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Anayasa’nın 148. maddesi başvuruda bulunabilmek için olağan kanun yollarının tüketilmesini şart koştuğu için kural olarak olağanüstü kanun yollarının bireysel başvuru öncesinde tüketilmesine gerek olmadığı kabul edilmektedir.</w:t>
      </w:r>
    </w:p>
    <w:p w14:paraId="0CCC2A5E" w14:textId="77777777" w:rsidR="00014A9A" w:rsidRPr="00014A9A" w:rsidRDefault="00014A9A" w:rsidP="00014A9A">
      <w:pPr>
        <w:spacing w:after="0" w:line="240" w:lineRule="auto"/>
        <w:jc w:val="both"/>
        <w:rPr>
          <w:rFonts w:ascii="Times New Roman" w:hAnsi="Times New Roman" w:cs="Times New Roman"/>
          <w:sz w:val="24"/>
          <w:szCs w:val="24"/>
        </w:rPr>
      </w:pPr>
    </w:p>
    <w:p w14:paraId="346664C1" w14:textId="70ACFA50" w:rsidR="00415366" w:rsidRDefault="0041536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Şekli anlamda tüketmeden kasıt başvuru yollarının “tamamının” tüketilmiş olmasıdır. Tamamının tüketilmesinden ise, tüketilmeye başlanan bir başvuru yolunun öngördüğü usul içerisinde sonuna kadar gidilmesi anlaşılmalıdır. Başvurucu yürürlükteki hukukun maddi ve usul kurallarına uymamış, temel hak zedelenmesini ortadan kaldırmak için tüm yasal ve kendinden beklenen yargılama olanaklarını kullanmamış ise, başvuru yollarını tüketme şartını yerine getirmiş sayılmaz</w:t>
      </w:r>
      <w:r w:rsidRPr="00014A9A">
        <w:rPr>
          <w:rFonts w:ascii="Times New Roman" w:hAnsi="Times New Roman" w:cs="Times New Roman"/>
          <w:sz w:val="24"/>
          <w:szCs w:val="24"/>
        </w:rPr>
        <w:t>.</w:t>
      </w:r>
    </w:p>
    <w:p w14:paraId="370BC2FA" w14:textId="77777777" w:rsidR="00014A9A" w:rsidRPr="00014A9A" w:rsidRDefault="00014A9A" w:rsidP="00014A9A">
      <w:pPr>
        <w:spacing w:after="0" w:line="240" w:lineRule="auto"/>
        <w:jc w:val="both"/>
        <w:rPr>
          <w:rFonts w:ascii="Times New Roman" w:hAnsi="Times New Roman" w:cs="Times New Roman"/>
          <w:sz w:val="24"/>
          <w:szCs w:val="24"/>
        </w:rPr>
      </w:pPr>
    </w:p>
    <w:p w14:paraId="064EB88A" w14:textId="360ED847" w:rsidR="00415366" w:rsidRDefault="0041536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Hukuka aykırı tutuklama kararları ile Anayasa'nın 19. maddesindeki “Kişi hürriyeti ve güvenliği hakkı” ihlal edilmiş olmaktadır. Bu ihlal gerek geçmişte gerekse de artan bir şekilde günümüzde en çok şikâyet edilen kamu gücü ihlallerinden biri haline gelmiştir. Sulh ceza mahkemesince tutuklanan bir kişinin, bir üst yargı merciine yaptığı itirazı reddedildiğinde bu mercii tarafından verilen karar kesin olduğundan yargılama devam etmesine rağmen anılan karara karşı başka bir itiraz imkânı bulunmamaktadır. Dolayısıyla bu aşamadan sonra yani tutuklama kararına itirazın reddi kararının akabinde bireysel başvuruda bulunmanın mümkün olduğunu söylemek gerekir</w:t>
      </w:r>
      <w:r w:rsidRPr="00014A9A">
        <w:rPr>
          <w:rFonts w:ascii="Times New Roman" w:hAnsi="Times New Roman" w:cs="Times New Roman"/>
          <w:sz w:val="24"/>
          <w:szCs w:val="24"/>
        </w:rPr>
        <w:t>.</w:t>
      </w:r>
    </w:p>
    <w:p w14:paraId="728BE392" w14:textId="77777777" w:rsidR="00014A9A" w:rsidRPr="00014A9A" w:rsidRDefault="00014A9A" w:rsidP="00014A9A">
      <w:pPr>
        <w:spacing w:after="0" w:line="240" w:lineRule="auto"/>
        <w:jc w:val="both"/>
        <w:rPr>
          <w:rFonts w:ascii="Times New Roman" w:hAnsi="Times New Roman" w:cs="Times New Roman"/>
          <w:sz w:val="24"/>
          <w:szCs w:val="24"/>
        </w:rPr>
      </w:pPr>
    </w:p>
    <w:p w14:paraId="44CB60CA" w14:textId="5F8BB310" w:rsidR="00415366" w:rsidRDefault="00977670"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Maddi anlamda tüketme yaklaşımına göre başvuru yollarının tüketilmesinden bahsedebilmek için, başvurucu yetkili makamların ve derece mahkemelerinin önünde Anayasal bir hakkının ihlal edildiğini veya edilmekte olduğunu en azından özü itibariyle ileri sürüp dikkatlerini çekmeli ve böylece onlara ihlal iddiasını çözme fırsatı vermiş </w:t>
      </w:r>
      <w:r w:rsidR="003B5414" w:rsidRPr="00014A9A">
        <w:rPr>
          <w:rFonts w:ascii="Times New Roman" w:hAnsi="Times New Roman" w:cs="Times New Roman"/>
          <w:sz w:val="24"/>
          <w:szCs w:val="24"/>
        </w:rPr>
        <w:t>olmalıdır.</w:t>
      </w:r>
      <w:r w:rsidRPr="00014A9A">
        <w:rPr>
          <w:rFonts w:ascii="Times New Roman" w:hAnsi="Times New Roman" w:cs="Times New Roman"/>
          <w:sz w:val="24"/>
          <w:szCs w:val="24"/>
        </w:rPr>
        <w:t xml:space="preserve"> </w:t>
      </w:r>
    </w:p>
    <w:p w14:paraId="0D6166CD" w14:textId="77777777" w:rsidR="00014A9A" w:rsidRPr="00014A9A" w:rsidRDefault="00014A9A" w:rsidP="00014A9A">
      <w:pPr>
        <w:spacing w:after="0" w:line="240" w:lineRule="auto"/>
        <w:jc w:val="both"/>
        <w:rPr>
          <w:rFonts w:ascii="Times New Roman" w:hAnsi="Times New Roman" w:cs="Times New Roman"/>
          <w:sz w:val="24"/>
          <w:szCs w:val="24"/>
        </w:rPr>
      </w:pPr>
    </w:p>
    <w:p w14:paraId="3A645979" w14:textId="59CCBDA8" w:rsidR="00977670" w:rsidRDefault="00977670"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Anayasa Mahkemesi'nin başvuru yollarının tüketilmesi bazlı kabul edilebilirlik incelemesi yaptığı karar gerekçelerinin hemen hepsinde kullandığı bir formül dikkat çekmektedir: etkili ve erişilebilir/mevcut olma koşulu. Bir hukuk yolunun erişilebilir olması öncelikle, kişilere açık, pratik ve somut bir başvurma yolunun tanınması anlamına gelmektedir. İlgili herkes bu yola doğrudan başvurabilmelidir. Bir hukuki veya idari yola başvurmak bir kamu makamının takdirine bırakılmış ise ya da gerçekleştirilmesi güç koşullara bağlanmış ise, bu yol kişiler için ulaşılabilir bir yol değildir. Keza etkili bir yol, ihlalin meydana gelmesini veya sürmesini önleyen ve eğer ihlal gerçekleşmiş ise, kişiye uygun ya da yeterli bir çare sunan bir yoldur</w:t>
      </w:r>
      <w:r w:rsidRPr="00014A9A">
        <w:rPr>
          <w:rFonts w:ascii="Times New Roman" w:hAnsi="Times New Roman" w:cs="Times New Roman"/>
          <w:sz w:val="24"/>
          <w:szCs w:val="24"/>
        </w:rPr>
        <w:t>.</w:t>
      </w:r>
    </w:p>
    <w:p w14:paraId="1E94C72D" w14:textId="77777777" w:rsidR="00014A9A" w:rsidRPr="00014A9A" w:rsidRDefault="00014A9A" w:rsidP="00014A9A">
      <w:pPr>
        <w:spacing w:after="0" w:line="240" w:lineRule="auto"/>
        <w:jc w:val="both"/>
        <w:rPr>
          <w:rFonts w:ascii="Times New Roman" w:hAnsi="Times New Roman" w:cs="Times New Roman"/>
          <w:sz w:val="24"/>
          <w:szCs w:val="24"/>
        </w:rPr>
      </w:pPr>
    </w:p>
    <w:p w14:paraId="2B608C70" w14:textId="2A953500" w:rsidR="007F6A1C"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lastRenderedPageBreak/>
        <w:t xml:space="preserve">Öncelikle belirtmek gerekir ki kabul edilebilirlik kriterlerinin tamamını Anayasa Mahkemesi’nin </w:t>
      </w:r>
      <w:r w:rsidR="003B5414" w:rsidRPr="00014A9A">
        <w:rPr>
          <w:rFonts w:ascii="Times New Roman" w:hAnsi="Times New Roman" w:cs="Times New Roman"/>
          <w:sz w:val="24"/>
          <w:szCs w:val="24"/>
        </w:rPr>
        <w:t>re ’sen</w:t>
      </w:r>
      <w:r w:rsidRPr="00014A9A">
        <w:rPr>
          <w:rFonts w:ascii="Times New Roman" w:hAnsi="Times New Roman" w:cs="Times New Roman"/>
          <w:sz w:val="24"/>
          <w:szCs w:val="24"/>
        </w:rPr>
        <w:t xml:space="preserve"> dikkate alması gerekir. Bu bağlamda Anayasa Mahkemesi bir ihlal iddiası için Kanunun aradığı niteliklerde bir başvuru yolunun mevcut olup olmadığını, mevcut başvuru yollarının belli bir ihlal iddiası için etkili olup olmadığını, başvurucunun mevcut başvuru yollarını tüketmek için elinden geleni yapmış olup olmadığını ve başvurucunun başvuru yollarını tüketmiş sayılıp sayılmayacağını </w:t>
      </w:r>
      <w:r w:rsidR="003B5414" w:rsidRPr="00014A9A">
        <w:rPr>
          <w:rFonts w:ascii="Times New Roman" w:hAnsi="Times New Roman" w:cs="Times New Roman"/>
          <w:sz w:val="24"/>
          <w:szCs w:val="24"/>
        </w:rPr>
        <w:t>re ‘sen</w:t>
      </w:r>
      <w:r w:rsidRPr="00014A9A">
        <w:rPr>
          <w:rFonts w:ascii="Times New Roman" w:hAnsi="Times New Roman" w:cs="Times New Roman"/>
          <w:sz w:val="24"/>
          <w:szCs w:val="24"/>
        </w:rPr>
        <w:t xml:space="preserve"> inceler. Fakat bu durum başvurucunun ispat konusunda hiçbir külfetinin olmadığına işaret etmemektedir. Bilakis Türk bireysel başvuru uygulamasında ihlal iddiasına yönelik bütün idari ve yargısal yolları tükettiğini ispat etmek başvurucuya yüklenmiştir</w:t>
      </w:r>
      <w:r w:rsidRPr="00014A9A">
        <w:rPr>
          <w:rFonts w:ascii="Times New Roman" w:hAnsi="Times New Roman" w:cs="Times New Roman"/>
          <w:sz w:val="24"/>
          <w:szCs w:val="24"/>
        </w:rPr>
        <w:t>.</w:t>
      </w:r>
    </w:p>
    <w:p w14:paraId="3C131D7B" w14:textId="77777777" w:rsidR="00014A9A" w:rsidRPr="00014A9A" w:rsidRDefault="00014A9A" w:rsidP="00014A9A">
      <w:pPr>
        <w:spacing w:after="0" w:line="240" w:lineRule="auto"/>
        <w:jc w:val="both"/>
        <w:rPr>
          <w:rFonts w:ascii="Times New Roman" w:hAnsi="Times New Roman" w:cs="Times New Roman"/>
          <w:sz w:val="24"/>
          <w:szCs w:val="24"/>
        </w:rPr>
      </w:pPr>
    </w:p>
    <w:p w14:paraId="1BBA56B6" w14:textId="4E8CF308" w:rsidR="00736F40" w:rsidRDefault="00736F40" w:rsidP="00014A9A">
      <w:pPr>
        <w:spacing w:after="0" w:line="240" w:lineRule="auto"/>
        <w:ind w:left="360"/>
        <w:jc w:val="center"/>
        <w:rPr>
          <w:rFonts w:ascii="Times New Roman" w:hAnsi="Times New Roman" w:cs="Times New Roman"/>
          <w:b/>
          <w:bCs/>
          <w:sz w:val="24"/>
          <w:szCs w:val="24"/>
        </w:rPr>
      </w:pPr>
      <w:r w:rsidRPr="00014A9A">
        <w:rPr>
          <w:rFonts w:ascii="Times New Roman" w:hAnsi="Times New Roman" w:cs="Times New Roman"/>
          <w:b/>
          <w:bCs/>
          <w:sz w:val="24"/>
          <w:szCs w:val="24"/>
        </w:rPr>
        <w:t xml:space="preserve">BÖLÜM </w:t>
      </w:r>
      <w:r w:rsidRPr="00014A9A">
        <w:rPr>
          <w:rFonts w:ascii="Times New Roman" w:hAnsi="Times New Roman" w:cs="Times New Roman"/>
          <w:b/>
          <w:bCs/>
          <w:sz w:val="24"/>
          <w:szCs w:val="24"/>
        </w:rPr>
        <w:t>2</w:t>
      </w:r>
    </w:p>
    <w:p w14:paraId="10544DFB" w14:textId="77777777" w:rsidR="00014A9A" w:rsidRPr="00014A9A" w:rsidRDefault="00014A9A" w:rsidP="00014A9A">
      <w:pPr>
        <w:spacing w:after="0" w:line="240" w:lineRule="auto"/>
        <w:ind w:left="360"/>
        <w:jc w:val="center"/>
        <w:rPr>
          <w:rFonts w:ascii="Times New Roman" w:hAnsi="Times New Roman" w:cs="Times New Roman"/>
          <w:b/>
          <w:bCs/>
          <w:sz w:val="24"/>
          <w:szCs w:val="24"/>
        </w:rPr>
      </w:pPr>
    </w:p>
    <w:p w14:paraId="6192CAA1" w14:textId="0D404205" w:rsidR="007F6A1C"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Anayasanın 148/3. maddesi temel hak ve hürriyetlerin ihlali iddiasıyla yapılacak başvurular için başvuru makamı olarak kural olarak Anayasa Mahkemesi’nin kendisini göstermiştir. 6216 sayılı Kanun da başvurunun doğrudan Anayasa Mahkemesi’ne yapılabileceğini belirtmiştir. (AYM Kanunu, m.47/1). Buradaki doğrudan ifadesinden Anayasa Mahkemesi’nin Ankara’daki adresine yapılan şahsen başvuruları anlamak gerekir.</w:t>
      </w:r>
    </w:p>
    <w:p w14:paraId="75317741" w14:textId="77777777" w:rsidR="00014A9A" w:rsidRPr="00014A9A" w:rsidRDefault="00014A9A" w:rsidP="00014A9A">
      <w:pPr>
        <w:pStyle w:val="ListeParagraf"/>
        <w:spacing w:after="0" w:line="240" w:lineRule="auto"/>
        <w:jc w:val="both"/>
        <w:rPr>
          <w:rFonts w:ascii="Times New Roman" w:hAnsi="Times New Roman" w:cs="Times New Roman"/>
          <w:sz w:val="24"/>
          <w:szCs w:val="24"/>
        </w:rPr>
      </w:pPr>
    </w:p>
    <w:p w14:paraId="23DDBF4C" w14:textId="77777777" w:rsidR="00014A9A"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başvurunun…mahkemeler… vasıtasıyla da yapılabileceği öngörülmüştür. İçtüzükte de aynı imkân, diğer mahkemeler şeklinde tanınmıştır. Demek ki bireysel başvuru Anayasa Mahkemesi’ne şahsen başvuruya gerek kalmaksızın da yapılabilmektedir.</w:t>
      </w:r>
    </w:p>
    <w:p w14:paraId="57745CA0" w14:textId="05B8F6B9" w:rsidR="007F6A1C" w:rsidRPr="00014A9A" w:rsidRDefault="007F6A1C" w:rsidP="00014A9A">
      <w:p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 </w:t>
      </w:r>
    </w:p>
    <w:p w14:paraId="261253AC" w14:textId="5F10DDC9" w:rsidR="007F6A1C"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6216 sayılı Kanun’un 47. maddesinde bireysel başvurunun …yurtdışı temsilcilikler… vasıtasıyla da yapılabileceği öngörülmüştür.</w:t>
      </w:r>
    </w:p>
    <w:p w14:paraId="25195617" w14:textId="77777777" w:rsidR="00014A9A" w:rsidRPr="00014A9A" w:rsidRDefault="00014A9A" w:rsidP="00014A9A">
      <w:pPr>
        <w:spacing w:after="0" w:line="240" w:lineRule="auto"/>
        <w:jc w:val="both"/>
        <w:rPr>
          <w:rFonts w:ascii="Times New Roman" w:hAnsi="Times New Roman" w:cs="Times New Roman"/>
          <w:sz w:val="24"/>
          <w:szCs w:val="24"/>
        </w:rPr>
      </w:pPr>
    </w:p>
    <w:p w14:paraId="2820B664" w14:textId="139DC27C" w:rsidR="007F6A1C" w:rsidRDefault="003B5414"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w:t>
      </w:r>
      <w:r w:rsidR="007F6A1C" w:rsidRPr="00014A9A">
        <w:rPr>
          <w:rFonts w:ascii="Times New Roman" w:hAnsi="Times New Roman" w:cs="Times New Roman"/>
          <w:sz w:val="24"/>
          <w:szCs w:val="24"/>
        </w:rPr>
        <w:t xml:space="preserve"> başvuru yapılırken yazılılık usulü, esastır. </w:t>
      </w:r>
      <w:r w:rsidRPr="00014A9A">
        <w:rPr>
          <w:rFonts w:ascii="Times New Roman" w:hAnsi="Times New Roman" w:cs="Times New Roman"/>
          <w:sz w:val="24"/>
          <w:szCs w:val="24"/>
        </w:rPr>
        <w:t>Bu</w:t>
      </w:r>
      <w:r w:rsidR="007F6A1C" w:rsidRPr="00014A9A">
        <w:rPr>
          <w:rFonts w:ascii="Times New Roman" w:hAnsi="Times New Roman" w:cs="Times New Roman"/>
          <w:sz w:val="24"/>
          <w:szCs w:val="24"/>
        </w:rPr>
        <w:t xml:space="preserve"> yazılılık esası sadece başvuru yapılırken aranan bir şart değil, İçtüzüğün 69/3. maddesine göre başvurulara ilişkin bilgi, belge ve diğer her türlü talebe ve sair yazışmalara da yöneliktir.</w:t>
      </w:r>
    </w:p>
    <w:p w14:paraId="263ADACD" w14:textId="77777777" w:rsidR="00266E4B" w:rsidRPr="00266E4B" w:rsidRDefault="00266E4B" w:rsidP="00266E4B">
      <w:pPr>
        <w:spacing w:after="0" w:line="240" w:lineRule="auto"/>
        <w:jc w:val="both"/>
        <w:rPr>
          <w:rFonts w:ascii="Times New Roman" w:hAnsi="Times New Roman" w:cs="Times New Roman"/>
          <w:sz w:val="24"/>
          <w:szCs w:val="24"/>
        </w:rPr>
      </w:pPr>
    </w:p>
    <w:p w14:paraId="59A02539" w14:textId="53905B7F" w:rsidR="007F6A1C"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Türk bireysel başvuru uygulamasında avukatla başvuruyu takip etme zorunluluğu yoktur</w:t>
      </w:r>
      <w:r w:rsidR="007264EE" w:rsidRPr="00014A9A">
        <w:rPr>
          <w:rFonts w:ascii="Times New Roman" w:hAnsi="Times New Roman" w:cs="Times New Roman"/>
          <w:sz w:val="24"/>
          <w:szCs w:val="24"/>
        </w:rPr>
        <w:t>.</w:t>
      </w:r>
    </w:p>
    <w:p w14:paraId="6412EE6D" w14:textId="77777777" w:rsidR="00266E4B" w:rsidRPr="00266E4B" w:rsidRDefault="00266E4B" w:rsidP="00266E4B">
      <w:pPr>
        <w:spacing w:after="0" w:line="240" w:lineRule="auto"/>
        <w:jc w:val="both"/>
        <w:rPr>
          <w:rFonts w:ascii="Times New Roman" w:hAnsi="Times New Roman" w:cs="Times New Roman"/>
          <w:sz w:val="24"/>
          <w:szCs w:val="24"/>
        </w:rPr>
      </w:pPr>
    </w:p>
    <w:p w14:paraId="489C8A83" w14:textId="36DE2D90" w:rsidR="007F6A1C" w:rsidRPr="00014A9A"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Komisyonlar, bireysel başvuruların kabul edilebilirlik incelemesini yapmak üzere oluşturulan kurullardır. </w:t>
      </w:r>
      <w:r w:rsidR="003B5414" w:rsidRPr="00014A9A">
        <w:rPr>
          <w:rFonts w:ascii="Times New Roman" w:hAnsi="Times New Roman" w:cs="Times New Roman"/>
          <w:sz w:val="24"/>
          <w:szCs w:val="24"/>
        </w:rPr>
        <w:t>Komisyonlar</w:t>
      </w:r>
      <w:r w:rsidRPr="00014A9A">
        <w:rPr>
          <w:rFonts w:ascii="Times New Roman" w:hAnsi="Times New Roman" w:cs="Times New Roman"/>
          <w:sz w:val="24"/>
          <w:szCs w:val="24"/>
        </w:rPr>
        <w:t xml:space="preserve"> iki üyeden oluşurlar. Komisyonlara kıdemli üye başkanlık eder. Komisyonların esas görevi Komisyonlar raportörlerince hazırlanan kabul edilebilirlik karar taslakları ile kabul edilemezlik karar taslak ya da liste karara bağlamaktır. Komisyonlar bu kararı oybirliği ile alırlar ve eğer oybirliği sağlanamazsa konu, oybirliği sağlanamadığı belirtilmek suretiyle </w:t>
      </w:r>
      <w:r w:rsidR="003B5414" w:rsidRPr="00014A9A">
        <w:rPr>
          <w:rFonts w:ascii="Times New Roman" w:hAnsi="Times New Roman" w:cs="Times New Roman"/>
          <w:sz w:val="24"/>
          <w:szCs w:val="24"/>
        </w:rPr>
        <w:t>Bölüme</w:t>
      </w:r>
      <w:r w:rsidRPr="00014A9A">
        <w:rPr>
          <w:rFonts w:ascii="Times New Roman" w:hAnsi="Times New Roman" w:cs="Times New Roman"/>
          <w:sz w:val="24"/>
          <w:szCs w:val="24"/>
        </w:rPr>
        <w:t xml:space="preserve"> havale edilir. İçtüzük komisyonlara kabul edilebilirlik incelemesinin yanı sıra tali başka görevler de yüklemiştir. Örneğin bunlardan biri kabul edilebilirliğine karar vereceği başvuruda adli yardım talebi olması durumunda bu hususu da karara bağlamaktır. Bununla birlikte komisyonlara istisnaen de olsa başvurunun esası hakkında karar verme ve hatta tedbir kararı alma yetkisi tanınmamıştır. Ancak tedbir kararı alınmasını gerektiren hallerin varlığı halinde komisyonlar başvurunun kabul edilebilirlik incelemesini derhal yapmalı ve tedbir kararını almak üzere başvuruyu ilgili Bölüme göndermelidir.</w:t>
      </w:r>
    </w:p>
    <w:p w14:paraId="387A9DBB" w14:textId="77777777" w:rsidR="007F6A1C" w:rsidRPr="00014A9A" w:rsidRDefault="007F6A1C" w:rsidP="00014A9A">
      <w:pPr>
        <w:spacing w:after="0" w:line="240" w:lineRule="auto"/>
        <w:jc w:val="both"/>
        <w:rPr>
          <w:rFonts w:ascii="Times New Roman" w:hAnsi="Times New Roman" w:cs="Times New Roman"/>
          <w:sz w:val="24"/>
          <w:szCs w:val="24"/>
        </w:rPr>
      </w:pPr>
    </w:p>
    <w:p w14:paraId="5301D61D" w14:textId="73A15FFD" w:rsidR="007F6A1C" w:rsidRPr="00014A9A"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Bölümler bireysel başvurunun esası yani bir temel hak ve hürriyetin ihlal edilip edilmediği hakkında karar verme yetkisine sahip olan kurullardır. Bölümlerin esas </w:t>
      </w:r>
      <w:r w:rsidRPr="00014A9A">
        <w:rPr>
          <w:rFonts w:ascii="Times New Roman" w:hAnsi="Times New Roman" w:cs="Times New Roman"/>
          <w:sz w:val="24"/>
          <w:szCs w:val="24"/>
        </w:rPr>
        <w:lastRenderedPageBreak/>
        <w:t>görevi komisyonlar tarafından kabul edilebilir bulunan başvuruların esas incelemesini yapmaktır. Bölümlerin diğer görevi Komisyonlarca kabul edilebilirliği karara bağlanamamış başvuruların Bölüm Başkanınca gerekli görüldüğü takdirde esas incelemesiyle birlikte kabul edilebilirlik incelemesini de yapmaktır.</w:t>
      </w:r>
    </w:p>
    <w:p w14:paraId="558DCC76" w14:textId="77777777" w:rsidR="00B432D3" w:rsidRPr="00014A9A" w:rsidRDefault="00B432D3" w:rsidP="00014A9A">
      <w:pPr>
        <w:pStyle w:val="ListeParagraf"/>
        <w:spacing w:after="0" w:line="240" w:lineRule="auto"/>
        <w:jc w:val="both"/>
        <w:rPr>
          <w:rFonts w:ascii="Times New Roman" w:hAnsi="Times New Roman" w:cs="Times New Roman"/>
          <w:sz w:val="24"/>
          <w:szCs w:val="24"/>
        </w:rPr>
      </w:pPr>
    </w:p>
    <w:p w14:paraId="10EC5537" w14:textId="733076E1" w:rsidR="00B432D3" w:rsidRPr="00014A9A" w:rsidRDefault="00B432D3"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başvurular, geliş sırasına göre incelenerek karara bağlanır. Ancak Mahkeme, başvuruların konuları itibarıyla önemini ve aciliyetini göz önünde bulundurarak belirlediği kriterler çerçevesinde farklı bir inceleme sıralaması yapabilir.</w:t>
      </w:r>
    </w:p>
    <w:p w14:paraId="2D24C8CC" w14:textId="77777777" w:rsidR="00B432D3" w:rsidRPr="00014A9A" w:rsidRDefault="00B432D3" w:rsidP="00266E4B">
      <w:pPr>
        <w:pStyle w:val="ListeParagraf"/>
        <w:spacing w:after="0" w:line="240" w:lineRule="auto"/>
        <w:jc w:val="both"/>
        <w:rPr>
          <w:rFonts w:ascii="Times New Roman" w:hAnsi="Times New Roman" w:cs="Times New Roman"/>
          <w:sz w:val="24"/>
          <w:szCs w:val="24"/>
        </w:rPr>
      </w:pPr>
    </w:p>
    <w:p w14:paraId="254D9A4A" w14:textId="6B01194D" w:rsidR="00B432D3" w:rsidRPr="00014A9A" w:rsidRDefault="005F60A7"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M</w:t>
      </w:r>
      <w:r w:rsidRPr="00014A9A">
        <w:rPr>
          <w:rFonts w:ascii="Times New Roman" w:hAnsi="Times New Roman" w:cs="Times New Roman"/>
          <w:sz w:val="24"/>
          <w:szCs w:val="24"/>
        </w:rPr>
        <w:t>ahkeme, kendisine verilen görevlerin yerine getirilmesi sırasında yasama, yürütme, yargı organları, kamu idareleri, kamu görevlileri, bankalar ile diğer gerçek ve tüzel kişilerle doğrudan yazışır, bilgi ve belge ister, gerekli gördüğü her türlü belge, kayıt ve işlemi inceler, bilgi almak üzere her derece ve sınıftan kamu görevlileri ile ilgilileri çağırabilir, idare ve diğer tüzel kişilerden temsilci isteyebilir.</w:t>
      </w:r>
    </w:p>
    <w:p w14:paraId="11AE9464" w14:textId="77777777" w:rsidR="005F60A7" w:rsidRPr="00014A9A" w:rsidRDefault="005F60A7" w:rsidP="00266E4B">
      <w:pPr>
        <w:pStyle w:val="ListeParagraf"/>
        <w:spacing w:after="0" w:line="240" w:lineRule="auto"/>
        <w:jc w:val="both"/>
        <w:rPr>
          <w:rFonts w:ascii="Times New Roman" w:hAnsi="Times New Roman" w:cs="Times New Roman"/>
          <w:sz w:val="24"/>
          <w:szCs w:val="24"/>
        </w:rPr>
      </w:pPr>
    </w:p>
    <w:p w14:paraId="24349E6D" w14:textId="60D7FDEA" w:rsidR="005F60A7" w:rsidRPr="00014A9A" w:rsidRDefault="005F60A7"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Mahkeme, başvurucu ya da kamu otoritesinin, istenen bilgi ya da belgeyi sunmaktan kaçındığı ya da bir delili gizlediği yahut her ne suretle olursa olsun davet edildiği hâlde yargılamaya etkili bir şekilde katılmadığı kanaatine varırsa, bu durumdan gerekli sonuçları çıkararak kararını verir.</w:t>
      </w:r>
    </w:p>
    <w:p w14:paraId="5C032E3E" w14:textId="77777777" w:rsidR="005F60A7" w:rsidRPr="00014A9A" w:rsidRDefault="005F60A7" w:rsidP="00266E4B">
      <w:pPr>
        <w:pStyle w:val="ListeParagraf"/>
        <w:spacing w:after="0" w:line="240" w:lineRule="auto"/>
        <w:jc w:val="both"/>
        <w:rPr>
          <w:rFonts w:ascii="Times New Roman" w:hAnsi="Times New Roman" w:cs="Times New Roman"/>
          <w:sz w:val="24"/>
          <w:szCs w:val="24"/>
        </w:rPr>
      </w:pPr>
    </w:p>
    <w:p w14:paraId="44AF1D84" w14:textId="27C8315D" w:rsidR="005F60A7" w:rsidRDefault="005F60A7"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Bireysel başvurunun kabul edilebilirliğine karar verilmesi hâlinde, başvurunun bir örneği bilgi için Adalet Bakanlığına gönderilir. Adalet Bakanlığı başvuruya ilişkin görüşünü otuz günlük süre içinde bildirir. Adalet Bakanlığının cevabı başvurucuya tebliğ edilir. Başvurucunun tebliğ tarihinden itibaren varsa karşı beyanlarını, on</w:t>
      </w: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beş gün içinde Mahkemeye sunması gerekir.</w:t>
      </w:r>
    </w:p>
    <w:p w14:paraId="461A8970" w14:textId="77777777" w:rsidR="00266E4B" w:rsidRPr="00266E4B" w:rsidRDefault="00266E4B" w:rsidP="00266E4B">
      <w:pPr>
        <w:spacing w:after="0" w:line="240" w:lineRule="auto"/>
        <w:jc w:val="both"/>
        <w:rPr>
          <w:rFonts w:ascii="Times New Roman" w:hAnsi="Times New Roman" w:cs="Times New Roman"/>
          <w:sz w:val="24"/>
          <w:szCs w:val="24"/>
        </w:rPr>
      </w:pPr>
    </w:p>
    <w:p w14:paraId="369C7701" w14:textId="6CD8B583" w:rsidR="00A54478" w:rsidRDefault="007F6A1C"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 xml:space="preserve">Bölümlerin başvurucunun yaşamına ya da maddi veya manevi bütünlüğüne yönelik ciddi bir tehlike bulunduğunun anlaşılması üzerine tedbir kararı verme yetkisi vardır. </w:t>
      </w:r>
      <w:r w:rsidR="005F60A7" w:rsidRPr="00014A9A">
        <w:rPr>
          <w:rFonts w:ascii="Times New Roman" w:hAnsi="Times New Roman" w:cs="Times New Roman"/>
          <w:sz w:val="24"/>
          <w:szCs w:val="24"/>
        </w:rPr>
        <w:t>Bölüm, tedbire karar vermesi hâlinde gereğinin ifası için bunu ilgili kişi ve kurumlara bildirir.</w:t>
      </w:r>
      <w:r w:rsidR="005F60A7" w:rsidRPr="00014A9A">
        <w:rPr>
          <w:rFonts w:ascii="Times New Roman" w:hAnsi="Times New Roman" w:cs="Times New Roman"/>
          <w:sz w:val="24"/>
          <w:szCs w:val="24"/>
        </w:rPr>
        <w:t xml:space="preserve"> </w:t>
      </w:r>
      <w:r w:rsidR="005F60A7" w:rsidRPr="00014A9A">
        <w:rPr>
          <w:rFonts w:ascii="Times New Roman" w:hAnsi="Times New Roman" w:cs="Times New Roman"/>
          <w:sz w:val="24"/>
          <w:szCs w:val="24"/>
        </w:rPr>
        <w:t>Tedbir kararı verilen başvurunun esası hakkındaki kararın en geç altı ay içinde verilmesi gerekir. Tedbirin devamı konusunda yeni bir karar alınmadığında, başvurucunun hakkının ihlal edilmediğine ya da başvurunun düşmesine karar verildiği durumlarda tedbir kararı kendiliğinden kalkar.</w:t>
      </w:r>
    </w:p>
    <w:p w14:paraId="50B84F4F" w14:textId="77777777" w:rsidR="00266E4B" w:rsidRPr="00266E4B" w:rsidRDefault="00266E4B" w:rsidP="00266E4B">
      <w:pPr>
        <w:spacing w:after="0" w:line="240" w:lineRule="auto"/>
        <w:jc w:val="both"/>
        <w:rPr>
          <w:rFonts w:ascii="Times New Roman" w:hAnsi="Times New Roman" w:cs="Times New Roman"/>
          <w:sz w:val="24"/>
          <w:szCs w:val="24"/>
        </w:rPr>
      </w:pPr>
    </w:p>
    <w:p w14:paraId="71AE7566" w14:textId="2AAE4FAC" w:rsidR="001E1906" w:rsidRDefault="001E190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Bölümler, başvuruları dosya üzerinden inceler. Ancak resen ya da başvurucu veya Adalet Bakanlığının talebi üzerine gerekli görülmesi hâlinde duruşma yapılmasına karar verilebilir.</w:t>
      </w: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Duruşma yapılmasına karar verilmesi hâlinde, duruşmanın yeri, günü ve saati ilgililere bildirilir.</w:t>
      </w: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Duruşma esnasında duruşma tutanağı düzenlenir. Tutanak örnekleri, talepleri hâlinde başvurucu ve Adalet Bakanlığı ile varsa diğer ilgililere verilir.</w:t>
      </w:r>
    </w:p>
    <w:p w14:paraId="7C3339D8" w14:textId="77777777" w:rsidR="00266E4B" w:rsidRPr="00266E4B" w:rsidRDefault="00266E4B" w:rsidP="00266E4B">
      <w:pPr>
        <w:spacing w:after="0" w:line="240" w:lineRule="auto"/>
        <w:jc w:val="both"/>
        <w:rPr>
          <w:rFonts w:ascii="Times New Roman" w:hAnsi="Times New Roman" w:cs="Times New Roman"/>
          <w:sz w:val="24"/>
          <w:szCs w:val="24"/>
        </w:rPr>
      </w:pPr>
    </w:p>
    <w:p w14:paraId="7D28D69E" w14:textId="270432E9" w:rsidR="001E1906" w:rsidRPr="00014A9A" w:rsidRDefault="001E190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Bölümler, bir başvurunun yapısal bir sorundan kaynaklandığını ve bu sorunun başka başvurulara da yol açtığını tespit etmeleri ya da bu durumun yeni başvurulara yol açacağını öngörmeleri hâlinde, pilot karar usulünü uygulayabilirler. Bu usulde, konuya ilişkin Bölüm tarafından pilot bir karar verilir. Benzer nitelikteki başvurular idari mercilerce bu ilkeler çerçevesinde çözümlenir; çözümlenmediği takdirde Mahkeme tarafından topluca görülerek karara bağlanır.</w:t>
      </w: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Bölüm, pilot karar usulünü resen, Adalet Bakanlığının ya da başvurucunun istemi üzerine başlatabilir.</w:t>
      </w: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Pilot karar uygulaması için seçilen başvuru, gündemin öncelikli işleri arasında sayılır. Bölüm pilot kararında, tespit ettiği yapısal sorunu ve bunun çözümü için alınması gereken tedbirleri belirtir.</w:t>
      </w:r>
      <w:r w:rsidRPr="00014A9A">
        <w:rPr>
          <w:rFonts w:ascii="Times New Roman" w:hAnsi="Times New Roman" w:cs="Times New Roman"/>
          <w:sz w:val="24"/>
          <w:szCs w:val="24"/>
        </w:rPr>
        <w:t xml:space="preserve"> </w:t>
      </w:r>
      <w:r w:rsidRPr="00014A9A">
        <w:rPr>
          <w:rFonts w:ascii="Times New Roman" w:hAnsi="Times New Roman" w:cs="Times New Roman"/>
          <w:sz w:val="24"/>
          <w:szCs w:val="24"/>
        </w:rPr>
        <w:t xml:space="preserve">Bölüm </w:t>
      </w:r>
      <w:r w:rsidRPr="00014A9A">
        <w:rPr>
          <w:rFonts w:ascii="Times New Roman" w:hAnsi="Times New Roman" w:cs="Times New Roman"/>
          <w:sz w:val="24"/>
          <w:szCs w:val="24"/>
        </w:rPr>
        <w:lastRenderedPageBreak/>
        <w:t>pilot kararla birlikte, bu karara konu yapısal soruna ilişkin benzer başvuruların incelenmesini erteleyebilir. İlgililer erteleme kararı hakkında bilgilendirilirler. Bölüm, gerekli gördüğü takdirde ertelediği başvuruları gündeme alarak karara bağlayabilir.</w:t>
      </w:r>
    </w:p>
    <w:p w14:paraId="6721D4DB" w14:textId="77777777" w:rsidR="001E1906" w:rsidRPr="00014A9A" w:rsidRDefault="001E1906" w:rsidP="00266E4B">
      <w:pPr>
        <w:pStyle w:val="ListeParagraf"/>
        <w:spacing w:after="0" w:line="240" w:lineRule="auto"/>
        <w:jc w:val="both"/>
        <w:rPr>
          <w:rFonts w:ascii="Times New Roman" w:hAnsi="Times New Roman" w:cs="Times New Roman"/>
          <w:sz w:val="24"/>
          <w:szCs w:val="24"/>
        </w:rPr>
      </w:pPr>
    </w:p>
    <w:p w14:paraId="517AA349" w14:textId="5ECDE521" w:rsidR="001E1906" w:rsidRDefault="001E190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w:t>
      </w:r>
      <w:r w:rsidRPr="00014A9A">
        <w:rPr>
          <w:rFonts w:ascii="Times New Roman" w:hAnsi="Times New Roman" w:cs="Times New Roman"/>
          <w:sz w:val="24"/>
          <w:szCs w:val="24"/>
        </w:rPr>
        <w:t>ölüm, ihlalin bir mahkeme kararından kaynaklandığını tespit ederse;</w:t>
      </w:r>
    </w:p>
    <w:p w14:paraId="1BDC1389" w14:textId="77777777" w:rsidR="00266E4B" w:rsidRPr="00266E4B" w:rsidRDefault="00266E4B" w:rsidP="00266E4B">
      <w:pPr>
        <w:spacing w:after="0" w:line="240" w:lineRule="auto"/>
        <w:jc w:val="both"/>
        <w:rPr>
          <w:rFonts w:ascii="Times New Roman" w:hAnsi="Times New Roman" w:cs="Times New Roman"/>
          <w:sz w:val="24"/>
          <w:szCs w:val="24"/>
        </w:rPr>
      </w:pPr>
    </w:p>
    <w:p w14:paraId="68D7186F" w14:textId="1BFD4F33" w:rsidR="001E1906" w:rsidRDefault="001E1906" w:rsidP="00266E4B">
      <w:pPr>
        <w:pStyle w:val="ListeParagraf"/>
        <w:numPr>
          <w:ilvl w:val="0"/>
          <w:numId w:val="2"/>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İhlali ve sonuçlarını ortadan kaldırmak için yeniden yargılama yapmak üzere dosyayı ilgili mahkemeye gönderir. İlgili mahkeme, Bölümün ihlal kararında açıkladığı ihlali ve sonuçlarını ortadan kaldıracak şekilde yeniden yargılama yapar ve mümkünse dosya üzerinden ivedilikle karar verir.</w:t>
      </w:r>
    </w:p>
    <w:p w14:paraId="04D9361B" w14:textId="77777777" w:rsidR="00266E4B" w:rsidRPr="00014A9A" w:rsidRDefault="00266E4B" w:rsidP="00266E4B">
      <w:pPr>
        <w:pStyle w:val="ListeParagraf"/>
        <w:spacing w:after="0" w:line="240" w:lineRule="auto"/>
        <w:ind w:left="1080"/>
        <w:jc w:val="both"/>
        <w:rPr>
          <w:rFonts w:ascii="Times New Roman" w:hAnsi="Times New Roman" w:cs="Times New Roman"/>
          <w:sz w:val="24"/>
          <w:szCs w:val="24"/>
        </w:rPr>
      </w:pPr>
    </w:p>
    <w:p w14:paraId="1ED15044" w14:textId="079B78B3" w:rsidR="001E1906" w:rsidRDefault="001E1906" w:rsidP="00266E4B">
      <w:pPr>
        <w:pStyle w:val="ListeParagraf"/>
        <w:numPr>
          <w:ilvl w:val="0"/>
          <w:numId w:val="2"/>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Bölümlerce yapılan inceleme sonunda, başvurucunun bir hakkının ihlal edildiğine karar verilmesi hâlinde, yeniden yargılama yapılmasında hukuki yarar bulunmadığı takdirde başvurucu lehine uygun bir tazminata hükmedilebilir.</w:t>
      </w:r>
    </w:p>
    <w:p w14:paraId="5D0AEFB9" w14:textId="77777777" w:rsidR="00266E4B" w:rsidRPr="00266E4B" w:rsidRDefault="00266E4B" w:rsidP="00266E4B">
      <w:pPr>
        <w:spacing w:after="0" w:line="240" w:lineRule="auto"/>
        <w:jc w:val="both"/>
        <w:rPr>
          <w:rFonts w:ascii="Times New Roman" w:hAnsi="Times New Roman" w:cs="Times New Roman"/>
          <w:sz w:val="24"/>
          <w:szCs w:val="24"/>
        </w:rPr>
      </w:pPr>
    </w:p>
    <w:p w14:paraId="5F00F06E" w14:textId="7713882A" w:rsidR="001E1906" w:rsidRDefault="001E1906" w:rsidP="00266E4B">
      <w:pPr>
        <w:pStyle w:val="ListeParagraf"/>
        <w:numPr>
          <w:ilvl w:val="0"/>
          <w:numId w:val="2"/>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Tazminat miktarının tespitinin, daha ayrıntılı bir incelemeyi gerektirmesi hâlinde, Bölüm bu konuyu kendisi karara bağlamaksızın genel mahkemelerde dava açılması yolunu gösterebilir.</w:t>
      </w:r>
    </w:p>
    <w:p w14:paraId="6F6B0108" w14:textId="77777777" w:rsidR="00266E4B" w:rsidRPr="00266E4B" w:rsidRDefault="00266E4B" w:rsidP="00266E4B">
      <w:pPr>
        <w:spacing w:after="0" w:line="240" w:lineRule="auto"/>
        <w:jc w:val="both"/>
        <w:rPr>
          <w:rFonts w:ascii="Times New Roman" w:hAnsi="Times New Roman" w:cs="Times New Roman"/>
          <w:sz w:val="24"/>
          <w:szCs w:val="24"/>
        </w:rPr>
      </w:pPr>
    </w:p>
    <w:p w14:paraId="53DA229E" w14:textId="4E116685" w:rsidR="001E1906" w:rsidRDefault="001E1906" w:rsidP="00014A9A">
      <w:pPr>
        <w:pStyle w:val="ListeParagraf"/>
        <w:numPr>
          <w:ilvl w:val="0"/>
          <w:numId w:val="1"/>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Bölümler ya da Komisyonlarca yargılamanın her aşamasında aşağıdaki hâllerde düşme kararı verilebilir:</w:t>
      </w:r>
    </w:p>
    <w:p w14:paraId="0C96CA9F" w14:textId="77777777" w:rsidR="00266E4B" w:rsidRPr="00014A9A" w:rsidRDefault="00266E4B" w:rsidP="00266E4B">
      <w:pPr>
        <w:pStyle w:val="ListeParagraf"/>
        <w:spacing w:after="0" w:line="240" w:lineRule="auto"/>
        <w:jc w:val="both"/>
        <w:rPr>
          <w:rFonts w:ascii="Times New Roman" w:hAnsi="Times New Roman" w:cs="Times New Roman"/>
          <w:sz w:val="24"/>
          <w:szCs w:val="24"/>
        </w:rPr>
      </w:pPr>
    </w:p>
    <w:p w14:paraId="48531786" w14:textId="537E6B28" w:rsidR="001E1906" w:rsidRDefault="001E1906" w:rsidP="00266E4B">
      <w:pPr>
        <w:pStyle w:val="ListeParagraf"/>
        <w:numPr>
          <w:ilvl w:val="0"/>
          <w:numId w:val="3"/>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Başvurucunun davadan açıkça feragat etmesi.</w:t>
      </w:r>
    </w:p>
    <w:p w14:paraId="4DDA871E" w14:textId="77777777" w:rsidR="00266E4B" w:rsidRPr="00014A9A" w:rsidRDefault="00266E4B" w:rsidP="00266E4B">
      <w:pPr>
        <w:pStyle w:val="ListeParagraf"/>
        <w:spacing w:after="0" w:line="240" w:lineRule="auto"/>
        <w:ind w:left="1080"/>
        <w:jc w:val="both"/>
        <w:rPr>
          <w:rFonts w:ascii="Times New Roman" w:hAnsi="Times New Roman" w:cs="Times New Roman"/>
          <w:sz w:val="24"/>
          <w:szCs w:val="24"/>
        </w:rPr>
      </w:pPr>
    </w:p>
    <w:p w14:paraId="79128D6F" w14:textId="62FEC5EE" w:rsidR="001E1906" w:rsidRDefault="001E1906" w:rsidP="00266E4B">
      <w:pPr>
        <w:pStyle w:val="ListeParagraf"/>
        <w:numPr>
          <w:ilvl w:val="0"/>
          <w:numId w:val="3"/>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Başvurucunun davasını takipsiz bıraktığının anlaşılması.</w:t>
      </w:r>
    </w:p>
    <w:p w14:paraId="7F546049" w14:textId="77777777" w:rsidR="00266E4B" w:rsidRPr="00266E4B" w:rsidRDefault="00266E4B" w:rsidP="00266E4B">
      <w:pPr>
        <w:spacing w:after="0" w:line="240" w:lineRule="auto"/>
        <w:jc w:val="both"/>
        <w:rPr>
          <w:rFonts w:ascii="Times New Roman" w:hAnsi="Times New Roman" w:cs="Times New Roman"/>
          <w:sz w:val="24"/>
          <w:szCs w:val="24"/>
        </w:rPr>
      </w:pPr>
    </w:p>
    <w:p w14:paraId="2EE18E64" w14:textId="3C95FBA3" w:rsidR="001E1906" w:rsidRDefault="001E1906" w:rsidP="00266E4B">
      <w:pPr>
        <w:pStyle w:val="ListeParagraf"/>
        <w:numPr>
          <w:ilvl w:val="0"/>
          <w:numId w:val="3"/>
        </w:numPr>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İhlalin ve sonuçlarının ortadan kalkmış olması.</w:t>
      </w:r>
    </w:p>
    <w:p w14:paraId="2F467227" w14:textId="77777777" w:rsidR="00266E4B" w:rsidRPr="00266E4B" w:rsidRDefault="00266E4B" w:rsidP="00266E4B">
      <w:pPr>
        <w:spacing w:after="0" w:line="240" w:lineRule="auto"/>
        <w:jc w:val="both"/>
        <w:rPr>
          <w:rFonts w:ascii="Times New Roman" w:hAnsi="Times New Roman" w:cs="Times New Roman"/>
          <w:sz w:val="24"/>
          <w:szCs w:val="24"/>
        </w:rPr>
      </w:pPr>
    </w:p>
    <w:p w14:paraId="0B28CA02" w14:textId="1999BF65" w:rsidR="003B5414" w:rsidRDefault="00A86090" w:rsidP="00266E4B">
      <w:pPr>
        <w:pStyle w:val="ListeParagraf"/>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Ç</w:t>
      </w:r>
      <w:r w:rsidR="001E1906" w:rsidRPr="00014A9A">
        <w:rPr>
          <w:rFonts w:ascii="Times New Roman" w:hAnsi="Times New Roman" w:cs="Times New Roman"/>
          <w:sz w:val="24"/>
          <w:szCs w:val="24"/>
        </w:rPr>
        <w:t>) Bölümler ya da Komisyonlarca saptanan herhangi bir başka gerekçeden ötürü, başvurunun incelenmesinin sürdürülmesini haklı kılan bir neden görülmemesi.</w:t>
      </w:r>
    </w:p>
    <w:p w14:paraId="5405E630" w14:textId="77777777" w:rsidR="00266E4B" w:rsidRPr="00266E4B" w:rsidRDefault="00266E4B" w:rsidP="00266E4B">
      <w:pPr>
        <w:spacing w:after="0" w:line="240" w:lineRule="auto"/>
        <w:jc w:val="both"/>
        <w:rPr>
          <w:rFonts w:ascii="Times New Roman" w:hAnsi="Times New Roman" w:cs="Times New Roman"/>
          <w:sz w:val="24"/>
          <w:szCs w:val="24"/>
        </w:rPr>
      </w:pPr>
    </w:p>
    <w:p w14:paraId="5242391F" w14:textId="0AFC467C" w:rsidR="001E1906" w:rsidRPr="00014A9A" w:rsidRDefault="001E1906" w:rsidP="00D94C1B">
      <w:pPr>
        <w:pStyle w:val="ListeParagraf"/>
        <w:spacing w:after="0" w:line="240" w:lineRule="auto"/>
        <w:jc w:val="both"/>
        <w:rPr>
          <w:rFonts w:ascii="Times New Roman" w:hAnsi="Times New Roman" w:cs="Times New Roman"/>
          <w:sz w:val="24"/>
          <w:szCs w:val="24"/>
        </w:rPr>
      </w:pPr>
      <w:r w:rsidRPr="00014A9A">
        <w:rPr>
          <w:rFonts w:ascii="Times New Roman" w:hAnsi="Times New Roman" w:cs="Times New Roman"/>
          <w:sz w:val="24"/>
          <w:szCs w:val="24"/>
        </w:rPr>
        <w:t>Bölümler ya da Komisyonlar; yukarıdaki fıkrada belirtilen nitelikteki bir başvuruyu, Anayasanın uygulanması ve yorumlanması veya temel hakların kapsamının ve sınırlarının belirlenmesi ya da insan haklarına saygının gerekli kıldığı hâllerde incelemeye devam edebilir.</w:t>
      </w:r>
    </w:p>
    <w:p w14:paraId="31B36F78" w14:textId="391F05B6" w:rsidR="001E1906" w:rsidRDefault="001E1906" w:rsidP="00266E4B">
      <w:pPr>
        <w:pStyle w:val="ListeParagraf"/>
        <w:spacing w:after="0" w:line="240" w:lineRule="auto"/>
        <w:jc w:val="both"/>
        <w:rPr>
          <w:rFonts w:ascii="Times New Roman" w:hAnsi="Times New Roman" w:cs="Times New Roman"/>
          <w:sz w:val="24"/>
          <w:szCs w:val="24"/>
        </w:rPr>
      </w:pPr>
    </w:p>
    <w:p w14:paraId="762AE03F" w14:textId="640C1476" w:rsidR="007F6FA9" w:rsidRDefault="007F6FA9" w:rsidP="007F6FA9">
      <w:pPr>
        <w:pStyle w:val="ListeParagraf"/>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YARARLANILAN KAYNAKLAR</w:t>
      </w:r>
    </w:p>
    <w:p w14:paraId="16F43BB1" w14:textId="3FEE15B9" w:rsidR="00DB57DC" w:rsidRDefault="00DB57DC" w:rsidP="00DB57DC">
      <w:pPr>
        <w:pStyle w:val="ListeParagraf"/>
        <w:spacing w:after="0" w:line="240" w:lineRule="auto"/>
        <w:rPr>
          <w:rFonts w:ascii="Times New Roman" w:hAnsi="Times New Roman" w:cs="Times New Roman"/>
          <w:b/>
          <w:bCs/>
          <w:sz w:val="24"/>
          <w:szCs w:val="24"/>
        </w:rPr>
      </w:pPr>
    </w:p>
    <w:p w14:paraId="44FA75FF" w14:textId="056C4A55" w:rsidR="00DB57DC" w:rsidRDefault="00DB57DC" w:rsidP="00DB57DC">
      <w:pPr>
        <w:ind w:firstLine="708"/>
        <w:jc w:val="both"/>
      </w:pPr>
      <w:r>
        <w:t xml:space="preserve">*T.C. Anayasa Mahkemesi, </w:t>
      </w:r>
      <w:r w:rsidRPr="00DB57DC">
        <w:rPr>
          <w:b/>
          <w:bCs/>
        </w:rPr>
        <w:t>66 Soruda Anayasa Mahkemesine Bireysel Başvuru</w:t>
      </w:r>
      <w:r>
        <w:t>, Ankara Barosu, 2012.</w:t>
      </w:r>
    </w:p>
    <w:p w14:paraId="2BC43F23" w14:textId="1733D196" w:rsidR="00DB57DC" w:rsidRPr="00DB57DC" w:rsidRDefault="00DB57DC" w:rsidP="00DB57DC">
      <w:pPr>
        <w:ind w:firstLine="708"/>
        <w:jc w:val="both"/>
      </w:pPr>
      <w:r>
        <w:t xml:space="preserve">** Metin Baykan, </w:t>
      </w:r>
      <w:r w:rsidRPr="00DB57DC">
        <w:rPr>
          <w:b/>
          <w:bCs/>
        </w:rPr>
        <w:t>Anayasa Mahkemesi'ne Yapılan Bireysel Başvuruların Ön İncelemesi ve Kabul Edilebilirliği</w:t>
      </w:r>
      <w:r>
        <w:t xml:space="preserve">, Seçkin Yayınları, Ankara, 2020. </w:t>
      </w:r>
    </w:p>
    <w:sectPr w:rsidR="00DB57DC" w:rsidRPr="00DB57D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E7CE4" w14:textId="77777777" w:rsidR="00570D46" w:rsidRDefault="00570D46" w:rsidP="006D1412">
      <w:pPr>
        <w:spacing w:after="0" w:line="240" w:lineRule="auto"/>
      </w:pPr>
      <w:r>
        <w:separator/>
      </w:r>
    </w:p>
  </w:endnote>
  <w:endnote w:type="continuationSeparator" w:id="0">
    <w:p w14:paraId="38975362" w14:textId="77777777" w:rsidR="00570D46" w:rsidRDefault="00570D46" w:rsidP="006D14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9351114"/>
      <w:docPartObj>
        <w:docPartGallery w:val="Page Numbers (Bottom of Page)"/>
        <w:docPartUnique/>
      </w:docPartObj>
    </w:sdtPr>
    <w:sdtContent>
      <w:p w14:paraId="1316FECC" w14:textId="41422EBF" w:rsidR="006D1412" w:rsidRDefault="006D1412">
        <w:pPr>
          <w:pStyle w:val="AltBilgi"/>
          <w:jc w:val="center"/>
        </w:pPr>
        <w:r>
          <w:fldChar w:fldCharType="begin"/>
        </w:r>
        <w:r>
          <w:instrText>PAGE   \* MERGEFORMAT</w:instrText>
        </w:r>
        <w:r>
          <w:fldChar w:fldCharType="separate"/>
        </w:r>
        <w:r>
          <w:t>2</w:t>
        </w:r>
        <w:r>
          <w:fldChar w:fldCharType="end"/>
        </w:r>
      </w:p>
    </w:sdtContent>
  </w:sdt>
  <w:p w14:paraId="78B959C9" w14:textId="77777777" w:rsidR="006D1412" w:rsidRDefault="006D141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BA7FD" w14:textId="77777777" w:rsidR="00570D46" w:rsidRDefault="00570D46" w:rsidP="006D1412">
      <w:pPr>
        <w:spacing w:after="0" w:line="240" w:lineRule="auto"/>
      </w:pPr>
      <w:r>
        <w:separator/>
      </w:r>
    </w:p>
  </w:footnote>
  <w:footnote w:type="continuationSeparator" w:id="0">
    <w:p w14:paraId="176E1435" w14:textId="77777777" w:rsidR="00570D46" w:rsidRDefault="00570D46" w:rsidP="006D14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203237"/>
    <w:multiLevelType w:val="hybridMultilevel"/>
    <w:tmpl w:val="E7C865B6"/>
    <w:lvl w:ilvl="0" w:tplc="5960465E">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41A178B1"/>
    <w:multiLevelType w:val="hybridMultilevel"/>
    <w:tmpl w:val="FDC2BEB4"/>
    <w:lvl w:ilvl="0" w:tplc="D024911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15:restartNumberingAfterBreak="0">
    <w:nsid w:val="5BFA5668"/>
    <w:multiLevelType w:val="hybridMultilevel"/>
    <w:tmpl w:val="B812178E"/>
    <w:lvl w:ilvl="0" w:tplc="2912228A">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18131047">
    <w:abstractNumId w:val="2"/>
  </w:num>
  <w:num w:numId="2" w16cid:durableId="192884799">
    <w:abstractNumId w:val="0"/>
  </w:num>
  <w:num w:numId="3" w16cid:durableId="13474885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76D"/>
    <w:rsid w:val="00014A9A"/>
    <w:rsid w:val="000171CC"/>
    <w:rsid w:val="00035DDD"/>
    <w:rsid w:val="00041E47"/>
    <w:rsid w:val="001A35F1"/>
    <w:rsid w:val="001C476D"/>
    <w:rsid w:val="001E1906"/>
    <w:rsid w:val="001E42A8"/>
    <w:rsid w:val="00223E7B"/>
    <w:rsid w:val="00266E4B"/>
    <w:rsid w:val="003B5414"/>
    <w:rsid w:val="00404387"/>
    <w:rsid w:val="00415366"/>
    <w:rsid w:val="00570D46"/>
    <w:rsid w:val="005725CE"/>
    <w:rsid w:val="005B78DE"/>
    <w:rsid w:val="005F60A7"/>
    <w:rsid w:val="00675C03"/>
    <w:rsid w:val="006D1412"/>
    <w:rsid w:val="006D2D25"/>
    <w:rsid w:val="00701988"/>
    <w:rsid w:val="007264EE"/>
    <w:rsid w:val="00736F40"/>
    <w:rsid w:val="007F6A1C"/>
    <w:rsid w:val="007F6FA9"/>
    <w:rsid w:val="00804263"/>
    <w:rsid w:val="0086598F"/>
    <w:rsid w:val="00976195"/>
    <w:rsid w:val="00977670"/>
    <w:rsid w:val="009E4672"/>
    <w:rsid w:val="00A54478"/>
    <w:rsid w:val="00A86090"/>
    <w:rsid w:val="00B432D3"/>
    <w:rsid w:val="00C66F77"/>
    <w:rsid w:val="00C77F5D"/>
    <w:rsid w:val="00CF1653"/>
    <w:rsid w:val="00D94C1B"/>
    <w:rsid w:val="00DB57DC"/>
    <w:rsid w:val="00E8315C"/>
    <w:rsid w:val="00EF744F"/>
    <w:rsid w:val="00FE104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EBC0C"/>
  <w15:chartTrackingRefBased/>
  <w15:docId w15:val="{612AA516-AEEC-4393-B64D-1FF79C544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E1046"/>
    <w:pPr>
      <w:ind w:left="720"/>
      <w:contextualSpacing/>
    </w:pPr>
  </w:style>
  <w:style w:type="paragraph" w:styleId="stBilgi">
    <w:name w:val="header"/>
    <w:basedOn w:val="Normal"/>
    <w:link w:val="stBilgiChar"/>
    <w:uiPriority w:val="99"/>
    <w:unhideWhenUsed/>
    <w:rsid w:val="006D141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D1412"/>
  </w:style>
  <w:style w:type="paragraph" w:styleId="AltBilgi">
    <w:name w:val="footer"/>
    <w:basedOn w:val="Normal"/>
    <w:link w:val="AltBilgiChar"/>
    <w:uiPriority w:val="99"/>
    <w:unhideWhenUsed/>
    <w:rsid w:val="006D141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D1412"/>
  </w:style>
  <w:style w:type="paragraph" w:styleId="NormalWeb">
    <w:name w:val="Normal (Web)"/>
    <w:basedOn w:val="Normal"/>
    <w:uiPriority w:val="99"/>
    <w:unhideWhenUsed/>
    <w:rsid w:val="005F60A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1E19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955672">
      <w:bodyDiv w:val="1"/>
      <w:marLeft w:val="0"/>
      <w:marRight w:val="0"/>
      <w:marTop w:val="0"/>
      <w:marBottom w:val="0"/>
      <w:divBdr>
        <w:top w:val="none" w:sz="0" w:space="0" w:color="auto"/>
        <w:left w:val="none" w:sz="0" w:space="0" w:color="auto"/>
        <w:bottom w:val="none" w:sz="0" w:space="0" w:color="auto"/>
        <w:right w:val="none" w:sz="0" w:space="0" w:color="auto"/>
      </w:divBdr>
    </w:div>
    <w:div w:id="1006594437">
      <w:bodyDiv w:val="1"/>
      <w:marLeft w:val="0"/>
      <w:marRight w:val="0"/>
      <w:marTop w:val="0"/>
      <w:marBottom w:val="0"/>
      <w:divBdr>
        <w:top w:val="none" w:sz="0" w:space="0" w:color="auto"/>
        <w:left w:val="none" w:sz="0" w:space="0" w:color="auto"/>
        <w:bottom w:val="none" w:sz="0" w:space="0" w:color="auto"/>
        <w:right w:val="none" w:sz="0" w:space="0" w:color="auto"/>
      </w:divBdr>
    </w:div>
    <w:div w:id="1272128646">
      <w:bodyDiv w:val="1"/>
      <w:marLeft w:val="0"/>
      <w:marRight w:val="0"/>
      <w:marTop w:val="0"/>
      <w:marBottom w:val="0"/>
      <w:divBdr>
        <w:top w:val="none" w:sz="0" w:space="0" w:color="auto"/>
        <w:left w:val="none" w:sz="0" w:space="0" w:color="auto"/>
        <w:bottom w:val="none" w:sz="0" w:space="0" w:color="auto"/>
        <w:right w:val="none" w:sz="0" w:space="0" w:color="auto"/>
      </w:divBdr>
    </w:div>
    <w:div w:id="1639526691">
      <w:bodyDiv w:val="1"/>
      <w:marLeft w:val="0"/>
      <w:marRight w:val="0"/>
      <w:marTop w:val="0"/>
      <w:marBottom w:val="0"/>
      <w:divBdr>
        <w:top w:val="none" w:sz="0" w:space="0" w:color="auto"/>
        <w:left w:val="none" w:sz="0" w:space="0" w:color="auto"/>
        <w:bottom w:val="none" w:sz="0" w:space="0" w:color="auto"/>
        <w:right w:val="none" w:sz="0" w:space="0" w:color="auto"/>
      </w:divBdr>
    </w:div>
    <w:div w:id="1770421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7</Pages>
  <Words>3189</Words>
  <Characters>18182</Characters>
  <Application>Microsoft Office Word</Application>
  <DocSecurity>0</DocSecurity>
  <Lines>151</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Hukuk</dc:creator>
  <cp:keywords/>
  <dc:description/>
  <cp:lastModifiedBy>Hukuk</cp:lastModifiedBy>
  <cp:revision>24</cp:revision>
  <dcterms:created xsi:type="dcterms:W3CDTF">2022-04-30T21:29:00Z</dcterms:created>
  <dcterms:modified xsi:type="dcterms:W3CDTF">2022-05-01T01:14:00Z</dcterms:modified>
</cp:coreProperties>
</file>