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07AC7" w:rsidRDefault="00F07AC7" w:rsidP="00F07AC7">
      <w:pPr>
        <w:spacing w:before="120" w:after="120" w:line="360" w:lineRule="auto"/>
        <w:ind w:firstLine="567"/>
        <w:jc w:val="both"/>
        <w:rPr>
          <w:rFonts w:ascii="Times New Roman" w:eastAsia="Times New Roman" w:hAnsi="Times New Roman" w:cs="Times New Roman"/>
          <w:b/>
          <w:bCs/>
          <w:color w:val="000000"/>
          <w:sz w:val="24"/>
          <w:szCs w:val="24"/>
          <w:lang w:eastAsia="tr-TR"/>
        </w:rPr>
      </w:pPr>
      <w:r>
        <w:rPr>
          <w:rFonts w:ascii="Times New Roman" w:eastAsia="Times New Roman" w:hAnsi="Times New Roman" w:cs="Times New Roman"/>
          <w:b/>
          <w:bCs/>
          <w:color w:val="000000"/>
          <w:sz w:val="24"/>
          <w:szCs w:val="24"/>
          <w:lang w:eastAsia="tr-TR"/>
        </w:rPr>
        <w:t>Borçların Kaynakları ve Borç İlişkisinin Kuruluşu</w:t>
      </w:r>
    </w:p>
    <w:p w:rsidR="00F07AC7" w:rsidRDefault="00F07AC7" w:rsidP="00F07AC7">
      <w:pPr>
        <w:spacing w:before="120" w:after="120" w:line="360" w:lineRule="auto"/>
        <w:ind w:firstLine="567"/>
        <w:jc w:val="both"/>
        <w:rPr>
          <w:rFonts w:ascii="Times New Roman" w:eastAsia="Times New Roman" w:hAnsi="Times New Roman" w:cs="Times New Roman"/>
          <w:bCs/>
          <w:color w:val="000000"/>
          <w:sz w:val="24"/>
          <w:szCs w:val="24"/>
          <w:lang w:eastAsia="tr-TR"/>
        </w:rPr>
      </w:pPr>
      <w:r>
        <w:rPr>
          <w:rFonts w:ascii="Times New Roman" w:eastAsia="Times New Roman" w:hAnsi="Times New Roman" w:cs="Times New Roman"/>
          <w:bCs/>
          <w:color w:val="000000"/>
          <w:sz w:val="24"/>
          <w:szCs w:val="24"/>
          <w:lang w:eastAsia="tr-TR"/>
        </w:rPr>
        <w:t>Başlangıçta Roma hukukunda borcun sözleşmeden ya da haksız fiilden doğacağı kabul ediliyordu. Ancak zamanla bu ayrım yetersiz kalmıştır. Zira sebepsiz zenginleşme ya da vekaletsiz iş görme gibi ne sözleşme ne de haksız fiil sayılabilen borç kaynaklarının da olabileceği anlaşıldı. Bu kapsamda sözleşme, sözleşme benzerleri, haksız fiil ve haksız fiil benzerleri olmak üzere borçların dört çeşit kaynağı olduğu kabul edilmiştir.</w:t>
      </w:r>
    </w:p>
    <w:p w:rsidR="00F07AC7" w:rsidRDefault="00F07AC7" w:rsidP="00F07AC7">
      <w:pPr>
        <w:spacing w:before="120" w:after="120" w:line="360" w:lineRule="auto"/>
        <w:ind w:firstLine="567"/>
        <w:jc w:val="both"/>
        <w:rPr>
          <w:rFonts w:ascii="Times New Roman" w:eastAsia="Times New Roman" w:hAnsi="Times New Roman" w:cs="Times New Roman"/>
          <w:b/>
          <w:bCs/>
          <w:color w:val="000000"/>
          <w:sz w:val="24"/>
          <w:szCs w:val="24"/>
          <w:lang w:eastAsia="tr-TR"/>
        </w:rPr>
      </w:pPr>
      <w:r>
        <w:rPr>
          <w:rFonts w:ascii="Times New Roman" w:eastAsia="Times New Roman" w:hAnsi="Times New Roman" w:cs="Times New Roman"/>
          <w:b/>
          <w:bCs/>
          <w:color w:val="000000"/>
          <w:sz w:val="24"/>
          <w:szCs w:val="24"/>
          <w:lang w:eastAsia="tr-TR"/>
        </w:rPr>
        <w:t>Sözleşmeden Doğan Borçlar</w:t>
      </w:r>
    </w:p>
    <w:p w:rsidR="00F07AC7" w:rsidRDefault="00F07AC7" w:rsidP="00F07AC7">
      <w:pPr>
        <w:spacing w:before="120" w:after="120" w:line="360" w:lineRule="auto"/>
        <w:ind w:firstLine="567"/>
        <w:jc w:val="both"/>
        <w:rPr>
          <w:rFonts w:ascii="Times New Roman" w:eastAsia="Times New Roman" w:hAnsi="Times New Roman" w:cs="Times New Roman"/>
          <w:bCs/>
          <w:color w:val="000000"/>
          <w:sz w:val="24"/>
          <w:szCs w:val="24"/>
          <w:lang w:eastAsia="tr-TR"/>
        </w:rPr>
      </w:pPr>
      <w:r>
        <w:rPr>
          <w:rFonts w:ascii="Times New Roman" w:eastAsia="Times New Roman" w:hAnsi="Times New Roman" w:cs="Times New Roman"/>
          <w:bCs/>
          <w:color w:val="000000"/>
          <w:sz w:val="24"/>
          <w:szCs w:val="24"/>
          <w:lang w:eastAsia="tr-TR"/>
        </w:rPr>
        <w:t>En az iki kişinin karşılıklı ve birbirine uygun irade beyanlarından oluşan hukuki işleme contractus (sözleşme) adı verilir. Bir sözleşmenin kurulabilmesi için icap ve kabul olmak üzere en az iki irade beyanına ihtiyaç vardır. Bunlardan zaman olarak önce yapılan, sözleşmenin tüm esaslı noktalarını ihtiva eden ve karşı tarafın kabulüyle birlikte sözleşmenin kurulması sonucunu doğuran irade beyanına icap adı verilir. Kabul beyanı ise icaba uygun olarak yapılan ve mucibe ulaştığı anda sözleşmenin kurulması sonucunu doğuran irade açıklamasıdır.</w:t>
      </w:r>
    </w:p>
    <w:p w:rsidR="00F07AC7" w:rsidRDefault="00F07AC7" w:rsidP="00F07AC7">
      <w:pPr>
        <w:spacing w:before="120" w:after="120" w:line="360" w:lineRule="auto"/>
        <w:ind w:firstLine="567"/>
        <w:jc w:val="both"/>
        <w:rPr>
          <w:rFonts w:ascii="Times New Roman" w:eastAsia="Times New Roman" w:hAnsi="Times New Roman" w:cs="Times New Roman"/>
          <w:bCs/>
          <w:color w:val="000000"/>
          <w:sz w:val="24"/>
          <w:szCs w:val="24"/>
          <w:lang w:eastAsia="tr-TR"/>
        </w:rPr>
      </w:pPr>
      <w:r>
        <w:rPr>
          <w:rFonts w:ascii="Times New Roman" w:eastAsia="Times New Roman" w:hAnsi="Times New Roman" w:cs="Times New Roman"/>
          <w:bCs/>
          <w:color w:val="000000"/>
          <w:sz w:val="24"/>
          <w:szCs w:val="24"/>
          <w:lang w:eastAsia="tr-TR"/>
        </w:rPr>
        <w:t>Günümüzde sözleşme serbestisi ilkesi geçerli olduğundan sözleşmelerin genel olarak herhangi bir şekle tabi olma zorunlulukları yoktur. Ancak Roma hukukunda kural şekil mecburiyeti olup, şekil serbestisi ise istisnadır.</w:t>
      </w:r>
    </w:p>
    <w:p w:rsidR="00F07AC7" w:rsidRDefault="00F07AC7" w:rsidP="00F07AC7">
      <w:pPr>
        <w:spacing w:before="120" w:after="120" w:line="360" w:lineRule="auto"/>
        <w:ind w:firstLine="567"/>
        <w:jc w:val="both"/>
        <w:rPr>
          <w:rFonts w:ascii="Times New Roman" w:eastAsia="Times New Roman" w:hAnsi="Times New Roman" w:cs="Times New Roman"/>
          <w:bCs/>
          <w:color w:val="000000"/>
          <w:sz w:val="24"/>
          <w:szCs w:val="24"/>
          <w:lang w:eastAsia="tr-TR"/>
        </w:rPr>
      </w:pPr>
      <w:r>
        <w:rPr>
          <w:rFonts w:ascii="Times New Roman" w:eastAsia="Times New Roman" w:hAnsi="Times New Roman" w:cs="Times New Roman"/>
          <w:bCs/>
          <w:color w:val="000000"/>
          <w:sz w:val="24"/>
          <w:szCs w:val="24"/>
          <w:lang w:eastAsia="tr-TR"/>
        </w:rPr>
        <w:t>Sözleşmelerin alacaklı ve borçlu olmak üzere iki tarafı vardır. Bununla birlikte tüm sözleşmeler her iki tarafa da borç yüklemezler. Bağışlama sözleşmesi gibi taraflardan yalnızca birine borç yükleyen sözleşmeler de vardır. Keza sözleşmeler kural olarak iki taraflı olmakla birlikte bu sözleşmelerin her iki tarafında da birden fazla kişinin bulunması mümkündür.</w:t>
      </w:r>
    </w:p>
    <w:p w:rsidR="00F07AC7" w:rsidRDefault="00F07AC7" w:rsidP="00F07AC7">
      <w:pPr>
        <w:spacing w:before="120" w:after="120" w:line="360" w:lineRule="auto"/>
        <w:ind w:firstLine="567"/>
        <w:jc w:val="both"/>
        <w:rPr>
          <w:rFonts w:ascii="Times New Roman" w:eastAsia="Times New Roman" w:hAnsi="Times New Roman" w:cs="Times New Roman"/>
          <w:bCs/>
          <w:color w:val="000000"/>
          <w:sz w:val="24"/>
          <w:szCs w:val="24"/>
          <w:lang w:eastAsia="tr-TR"/>
        </w:rPr>
      </w:pPr>
      <w:r>
        <w:rPr>
          <w:rFonts w:ascii="Times New Roman" w:eastAsia="Times New Roman" w:hAnsi="Times New Roman" w:cs="Times New Roman"/>
          <w:bCs/>
          <w:color w:val="000000"/>
          <w:sz w:val="24"/>
          <w:szCs w:val="24"/>
          <w:lang w:eastAsia="tr-TR"/>
        </w:rPr>
        <w:t>Roma hukukunda sözleşmeler; rızai, real, yazılı ve sözlü sözleşmeler olmak üzere dörde ayrılır.</w:t>
      </w:r>
    </w:p>
    <w:p w:rsidR="00F07AC7" w:rsidRDefault="00F07AC7" w:rsidP="00F07AC7">
      <w:pPr>
        <w:spacing w:before="120" w:after="120" w:line="360" w:lineRule="auto"/>
        <w:ind w:firstLine="567"/>
        <w:jc w:val="both"/>
        <w:rPr>
          <w:rFonts w:ascii="Times New Roman" w:eastAsia="Times New Roman" w:hAnsi="Times New Roman" w:cs="Times New Roman"/>
          <w:bCs/>
          <w:color w:val="000000"/>
          <w:sz w:val="24"/>
          <w:szCs w:val="24"/>
          <w:lang w:eastAsia="tr-TR"/>
        </w:rPr>
      </w:pPr>
      <w:r>
        <w:rPr>
          <w:rFonts w:ascii="Times New Roman" w:eastAsia="Times New Roman" w:hAnsi="Times New Roman" w:cs="Times New Roman"/>
          <w:bCs/>
          <w:color w:val="000000"/>
          <w:sz w:val="24"/>
          <w:szCs w:val="24"/>
          <w:lang w:eastAsia="tr-TR"/>
        </w:rPr>
        <w:t>Rızai sözleşmelerde yalnızca taraflarını rızalarının birbirine uyumu yeterlidir. (Satım, kira, vekâlet, hizmet, istisna, şirket)</w:t>
      </w:r>
    </w:p>
    <w:p w:rsidR="00F07AC7" w:rsidRDefault="00F07AC7" w:rsidP="00F07AC7">
      <w:pPr>
        <w:spacing w:before="120" w:after="120" w:line="360" w:lineRule="auto"/>
        <w:ind w:firstLine="567"/>
        <w:jc w:val="both"/>
        <w:rPr>
          <w:rFonts w:ascii="Times New Roman" w:eastAsia="Times New Roman" w:hAnsi="Times New Roman" w:cs="Times New Roman"/>
          <w:bCs/>
          <w:color w:val="000000"/>
          <w:sz w:val="24"/>
          <w:szCs w:val="24"/>
          <w:lang w:eastAsia="tr-TR"/>
        </w:rPr>
      </w:pPr>
      <w:r>
        <w:rPr>
          <w:rFonts w:ascii="Times New Roman" w:eastAsia="Times New Roman" w:hAnsi="Times New Roman" w:cs="Times New Roman"/>
          <w:bCs/>
          <w:color w:val="000000"/>
          <w:sz w:val="24"/>
          <w:szCs w:val="24"/>
          <w:lang w:eastAsia="tr-TR"/>
        </w:rPr>
        <w:t>Ayni sözleşmeler adı da verilen real sözleşmeler de ise consensusun yanı sıra sözleşme konusunun teslimi de gerekir. (Karz, ariyet, vedia, rehin)</w:t>
      </w:r>
    </w:p>
    <w:p w:rsidR="00F07AC7" w:rsidRDefault="00F07AC7" w:rsidP="00F07AC7">
      <w:pPr>
        <w:spacing w:before="120" w:after="120" w:line="360" w:lineRule="auto"/>
        <w:ind w:firstLine="567"/>
        <w:jc w:val="both"/>
        <w:rPr>
          <w:rFonts w:ascii="Times New Roman" w:eastAsia="Times New Roman" w:hAnsi="Times New Roman" w:cs="Times New Roman"/>
          <w:bCs/>
          <w:color w:val="000000"/>
          <w:sz w:val="24"/>
          <w:szCs w:val="24"/>
          <w:lang w:eastAsia="tr-TR"/>
        </w:rPr>
      </w:pPr>
      <w:r>
        <w:rPr>
          <w:rFonts w:ascii="Times New Roman" w:eastAsia="Times New Roman" w:hAnsi="Times New Roman" w:cs="Times New Roman"/>
          <w:bCs/>
          <w:color w:val="000000"/>
          <w:sz w:val="24"/>
          <w:szCs w:val="24"/>
          <w:lang w:eastAsia="tr-TR"/>
        </w:rPr>
        <w:t>Günümüzdekinden farklı olmakla birlikte Roma hukukundaki sözleşme türlerinden birisi de yazılı sözleşmelerdir.</w:t>
      </w:r>
    </w:p>
    <w:p w:rsidR="00F07AC7" w:rsidRDefault="00F07AC7" w:rsidP="00F07AC7">
      <w:pPr>
        <w:spacing w:before="120" w:after="120" w:line="360" w:lineRule="auto"/>
        <w:ind w:firstLine="567"/>
        <w:jc w:val="both"/>
        <w:rPr>
          <w:rFonts w:ascii="Times New Roman" w:eastAsia="Times New Roman" w:hAnsi="Times New Roman" w:cs="Times New Roman"/>
          <w:bCs/>
          <w:color w:val="000000"/>
          <w:sz w:val="24"/>
          <w:szCs w:val="24"/>
          <w:lang w:eastAsia="tr-TR"/>
        </w:rPr>
      </w:pPr>
      <w:r>
        <w:rPr>
          <w:rFonts w:ascii="Times New Roman" w:eastAsia="Times New Roman" w:hAnsi="Times New Roman" w:cs="Times New Roman"/>
          <w:bCs/>
          <w:color w:val="000000"/>
          <w:sz w:val="24"/>
          <w:szCs w:val="24"/>
          <w:lang w:eastAsia="tr-TR"/>
        </w:rPr>
        <w:lastRenderedPageBreak/>
        <w:t>Dotis dictio, azatlının yemin etmesi ve stipulatio gibi sözleşmeler; Roma hukukundaki sözlü sözleşmeler olup, bunların içerisinde en yaygın olanı stipulatiodur.</w:t>
      </w:r>
    </w:p>
    <w:p w:rsidR="00D64FEA" w:rsidRPr="00F07AC7" w:rsidRDefault="00F07AC7" w:rsidP="00F07AC7">
      <w:pPr>
        <w:spacing w:before="120" w:after="120" w:line="360" w:lineRule="auto"/>
        <w:ind w:firstLine="567"/>
        <w:jc w:val="both"/>
        <w:rPr>
          <w:rFonts w:ascii="Times New Roman" w:eastAsia="Times New Roman" w:hAnsi="Times New Roman" w:cs="Times New Roman"/>
          <w:bCs/>
          <w:color w:val="000000"/>
          <w:sz w:val="24"/>
          <w:szCs w:val="24"/>
          <w:lang w:eastAsia="tr-TR"/>
        </w:rPr>
      </w:pPr>
      <w:r>
        <w:rPr>
          <w:rFonts w:ascii="Times New Roman" w:eastAsia="Times New Roman" w:hAnsi="Times New Roman" w:cs="Times New Roman"/>
          <w:bCs/>
          <w:color w:val="000000"/>
          <w:sz w:val="24"/>
          <w:szCs w:val="24"/>
          <w:lang w:eastAsia="tr-TR"/>
        </w:rPr>
        <w:t>Vekaletsiz iş görme, vesayet ve sebepsiz zenginleşme ise sözleşme benzerlerinden doğan borçları oluşturmaktadır.</w:t>
      </w:r>
    </w:p>
    <w:sectPr w:rsidR="00D64FEA" w:rsidRPr="00F07AC7" w:rsidSect="00D64FEA">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0002A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efaultTabStop w:val="708"/>
  <w:hyphenationZone w:val="425"/>
  <w:characterSpacingControl w:val="doNotCompress"/>
  <w:compat/>
  <w:rsids>
    <w:rsidRoot w:val="00F07AC7"/>
    <w:rsid w:val="00227F93"/>
    <w:rsid w:val="007A5467"/>
    <w:rsid w:val="00D64FEA"/>
    <w:rsid w:val="00F07AC7"/>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07AC7"/>
  </w:style>
  <w:style w:type="paragraph" w:styleId="Balk3">
    <w:name w:val="heading 3"/>
    <w:basedOn w:val="Normal"/>
    <w:next w:val="Normal"/>
    <w:link w:val="Balk3Char"/>
    <w:uiPriority w:val="9"/>
    <w:semiHidden/>
    <w:unhideWhenUsed/>
    <w:qFormat/>
    <w:rsid w:val="00227F93"/>
    <w:pPr>
      <w:keepNext/>
      <w:keepLines/>
      <w:spacing w:before="200" w:after="0"/>
      <w:outlineLvl w:val="2"/>
    </w:pPr>
    <w:rPr>
      <w:rFonts w:asciiTheme="majorHAnsi" w:eastAsiaTheme="majorEastAsia" w:hAnsiTheme="majorHAnsi" w:cstheme="majorBidi"/>
      <w:b/>
      <w:bCs/>
      <w:color w:val="4F81BD" w:themeColor="accent1"/>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KonuBal">
    <w:name w:val="Title"/>
    <w:basedOn w:val="Balk3"/>
    <w:next w:val="Normal"/>
    <w:link w:val="KonuBalChar"/>
    <w:autoRedefine/>
    <w:uiPriority w:val="10"/>
    <w:qFormat/>
    <w:rsid w:val="00227F93"/>
    <w:pPr>
      <w:pBdr>
        <w:bottom w:val="single" w:sz="8" w:space="4" w:color="4F81BD" w:themeColor="accent1"/>
      </w:pBdr>
      <w:spacing w:before="0" w:after="300" w:line="240" w:lineRule="auto"/>
      <w:ind w:firstLine="567"/>
      <w:contextualSpacing/>
      <w:jc w:val="both"/>
    </w:pPr>
    <w:rPr>
      <w:rFonts w:ascii="Times New Roman" w:hAnsi="Times New Roman"/>
      <w:color w:val="auto"/>
      <w:spacing w:val="5"/>
      <w:kern w:val="28"/>
      <w:sz w:val="24"/>
      <w:szCs w:val="52"/>
    </w:rPr>
  </w:style>
  <w:style w:type="character" w:customStyle="1" w:styleId="KonuBalChar">
    <w:name w:val="Konu Başlığı Char"/>
    <w:basedOn w:val="VarsaylanParagrafYazTipi"/>
    <w:link w:val="KonuBal"/>
    <w:uiPriority w:val="10"/>
    <w:rsid w:val="00227F93"/>
    <w:rPr>
      <w:rFonts w:ascii="Times New Roman" w:eastAsiaTheme="majorEastAsia" w:hAnsi="Times New Roman" w:cstheme="majorBidi"/>
      <w:b/>
      <w:bCs/>
      <w:spacing w:val="5"/>
      <w:kern w:val="28"/>
      <w:sz w:val="24"/>
      <w:szCs w:val="52"/>
    </w:rPr>
  </w:style>
  <w:style w:type="character" w:customStyle="1" w:styleId="Balk3Char">
    <w:name w:val="Başlık 3 Char"/>
    <w:basedOn w:val="VarsaylanParagrafYazTipi"/>
    <w:link w:val="Balk3"/>
    <w:uiPriority w:val="9"/>
    <w:semiHidden/>
    <w:rsid w:val="00227F93"/>
    <w:rPr>
      <w:rFonts w:asciiTheme="majorHAnsi" w:eastAsiaTheme="majorEastAsia" w:hAnsiTheme="majorHAnsi" w:cstheme="majorBidi"/>
      <w:b/>
      <w:bCs/>
      <w:color w:val="4F81BD" w:themeColor="accent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356</Words>
  <Characters>2032</Characters>
  <Application>Microsoft Office Word</Application>
  <DocSecurity>0</DocSecurity>
  <Lines>16</Lines>
  <Paragraphs>4</Paragraphs>
  <ScaleCrop>false</ScaleCrop>
  <Company>Hewlett-Packard</Company>
  <LinksUpToDate>false</LinksUpToDate>
  <CharactersWithSpaces>2384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NACİ</dc:creator>
  <cp:keywords/>
  <dc:description/>
  <cp:lastModifiedBy>NACİ</cp:lastModifiedBy>
  <cp:revision>2</cp:revision>
  <dcterms:created xsi:type="dcterms:W3CDTF">2020-03-22T22:24:00Z</dcterms:created>
  <dcterms:modified xsi:type="dcterms:W3CDTF">2020-03-22T22:25:00Z</dcterms:modified>
</cp:coreProperties>
</file>