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12FB" w:rsidRPr="00EF32EB" w:rsidRDefault="00B212FB" w:rsidP="00B212FB">
      <w:pPr>
        <w:pStyle w:val="Balk2"/>
        <w:numPr>
          <w:ilvl w:val="0"/>
          <w:numId w:val="1"/>
        </w:numPr>
        <w:spacing w:after="80"/>
        <w:ind w:left="709" w:hanging="284"/>
        <w:rPr>
          <w:rFonts w:ascii="Candara" w:hAnsi="Candara" w:cs="Times New Roman"/>
          <w:color w:val="auto"/>
        </w:rPr>
      </w:pPr>
      <w:bookmarkStart w:id="0" w:name="_Toc18936202"/>
      <w:bookmarkStart w:id="1" w:name="_Toc18937989"/>
      <w:bookmarkStart w:id="2" w:name="_Toc18938093"/>
      <w:r w:rsidRPr="00EF32EB">
        <w:rPr>
          <w:rFonts w:ascii="Candara" w:hAnsi="Candara" w:cs="Times New Roman"/>
          <w:color w:val="auto"/>
        </w:rPr>
        <w:t>Tarîkatlar Dönemi ve Özellikleri</w:t>
      </w:r>
      <w:bookmarkEnd w:id="0"/>
      <w:bookmarkEnd w:id="1"/>
      <w:bookmarkEnd w:id="2"/>
    </w:p>
    <w:p w:rsidR="00B212FB" w:rsidRPr="00EF32EB" w:rsidRDefault="00B212FB" w:rsidP="00B212FB">
      <w:pPr>
        <w:ind w:firstLine="425"/>
        <w:jc w:val="both"/>
        <w:rPr>
          <w:rFonts w:ascii="Candara" w:hAnsi="Candara" w:cs="Times New Roman"/>
        </w:rPr>
      </w:pPr>
      <w:r w:rsidRPr="00EF32EB">
        <w:rPr>
          <w:rFonts w:ascii="Candara" w:hAnsi="Candara" w:cs="Times New Roman"/>
        </w:rPr>
        <w:t>Tarîkatlar Dönemi ile özellikle Selçuklu ile Osmanlı dönemleri akla gelmektedir ki, bu dönemi h.VI. / m. XII. asırdan itibaren başlatıp günümüze kadar getirmekteyiz. Bu dönemle birlikte tasavvuf hareketi kitleselleşmiş, müessese bazında faaliyet göstermeye başlamış ve sosyal bir gerçeklik hâlini almıştır.</w:t>
      </w:r>
    </w:p>
    <w:p w:rsidR="00B212FB" w:rsidRPr="00EF32EB" w:rsidRDefault="00B212FB" w:rsidP="00B212FB">
      <w:pPr>
        <w:ind w:firstLine="425"/>
        <w:jc w:val="both"/>
        <w:rPr>
          <w:rFonts w:ascii="Candara" w:hAnsi="Candara" w:cs="Times New Roman"/>
        </w:rPr>
      </w:pPr>
      <w:r w:rsidRPr="00EF32EB">
        <w:rPr>
          <w:rFonts w:ascii="Candara" w:hAnsi="Candara" w:cs="Times New Roman"/>
        </w:rPr>
        <w:t>Tarîkatların ortaya çıkışında etken olan nedenler genel hatlarıyla şunlardır:</w:t>
      </w:r>
    </w:p>
    <w:p w:rsidR="00B212FB" w:rsidRPr="00EF32EB" w:rsidRDefault="00B212FB" w:rsidP="00B212FB">
      <w:pPr>
        <w:numPr>
          <w:ilvl w:val="0"/>
          <w:numId w:val="2"/>
        </w:numPr>
        <w:spacing w:after="0"/>
        <w:ind w:hanging="294"/>
        <w:jc w:val="both"/>
        <w:rPr>
          <w:rFonts w:ascii="Candara" w:hAnsi="Candara" w:cs="Times New Roman"/>
        </w:rPr>
      </w:pPr>
      <w:r w:rsidRPr="00EF32EB">
        <w:rPr>
          <w:rFonts w:ascii="Candara" w:hAnsi="Candara" w:cs="Times New Roman"/>
        </w:rPr>
        <w:t>Kur’ân ve Sünnetin özünde bulunan ashab ve diğer zâhidlerin hayatlarında görülen zühdî ve manevî eğilim.</w:t>
      </w:r>
    </w:p>
    <w:p w:rsidR="00B212FB" w:rsidRPr="00EF32EB" w:rsidRDefault="00B212FB" w:rsidP="00B212FB">
      <w:pPr>
        <w:numPr>
          <w:ilvl w:val="0"/>
          <w:numId w:val="2"/>
        </w:numPr>
        <w:spacing w:after="0"/>
        <w:ind w:hanging="294"/>
        <w:jc w:val="both"/>
        <w:rPr>
          <w:rFonts w:ascii="Candara" w:hAnsi="Candara" w:cs="Times New Roman"/>
        </w:rPr>
      </w:pPr>
      <w:r w:rsidRPr="00EF32EB">
        <w:rPr>
          <w:rFonts w:ascii="Candara" w:hAnsi="Candara" w:cs="Times New Roman"/>
        </w:rPr>
        <w:t>Tasavvuf ve ruhî hayata yönelik yaşayışın zamanla halk kitlelerine mal olması ve her sınıf insanın bu yola ilgi duymaya başlaması. (Bu ilgi, ferdin fıtraten sahip olduğu mistik özellik, bir otoriteye bağlanma psikolojisi, insanın yaratılış itibarıyla taklide olan meylinden kaynaklanır.)</w:t>
      </w:r>
    </w:p>
    <w:p w:rsidR="00B212FB" w:rsidRPr="00EF32EB" w:rsidRDefault="00B212FB" w:rsidP="00B212FB">
      <w:pPr>
        <w:numPr>
          <w:ilvl w:val="0"/>
          <w:numId w:val="2"/>
        </w:numPr>
        <w:spacing w:after="0"/>
        <w:ind w:hanging="294"/>
        <w:jc w:val="both"/>
        <w:rPr>
          <w:rFonts w:ascii="Candara" w:hAnsi="Candara" w:cs="Times New Roman"/>
        </w:rPr>
      </w:pPr>
      <w:r w:rsidRPr="00EF32EB">
        <w:rPr>
          <w:rFonts w:ascii="Candara" w:hAnsi="Candara" w:cs="Times New Roman"/>
        </w:rPr>
        <w:t>Huzur ortamına kavuşma arzusu, moral değer arayışları, dini hayatı daha iyi yaşama isteği, ferdin sosyal ihtiyaç ve beklentileri, sosyal yapıda meydana gelen değişimler gibi sosyal ve siyâsî nedenler.</w:t>
      </w:r>
    </w:p>
    <w:p w:rsidR="00B212FB" w:rsidRPr="00EF32EB" w:rsidRDefault="00B212FB" w:rsidP="00B212FB">
      <w:pPr>
        <w:spacing w:before="80"/>
        <w:ind w:firstLine="425"/>
        <w:jc w:val="both"/>
        <w:rPr>
          <w:rFonts w:ascii="Candara" w:hAnsi="Candara" w:cs="Times New Roman"/>
        </w:rPr>
      </w:pPr>
      <w:r w:rsidRPr="00EF32EB">
        <w:rPr>
          <w:rFonts w:ascii="Candara" w:hAnsi="Candara" w:cs="Times New Roman"/>
          <w:b/>
        </w:rPr>
        <w:t>H. VI. ve VII. / M. XII ve XIII. asırlar</w:t>
      </w:r>
      <w:r w:rsidRPr="00EF32EB">
        <w:rPr>
          <w:rFonts w:ascii="Candara" w:hAnsi="Candara" w:cs="Times New Roman"/>
        </w:rPr>
        <w:t xml:space="preserve"> Abbasî hilafetinin her geçen gün nüfuz ve istikrarını kaybettiği ve Batı’dan gelen haçlı, Doğu’dan gelen Moğol istilalarının müslüman dünyayı derinden etkilediği yıllardır. Bu dönemde Anadolu’da Anadolu Selçukluları ile bazı beylikler, Mısır’da Memlûkler, Irak ve Suriye’de irili-ufaklı beylikler ortaya çıkmış, tam anlamıyla siyasî ve sosyal bir </w:t>
      </w:r>
      <w:proofErr w:type="gramStart"/>
      <w:r w:rsidRPr="00EF32EB">
        <w:rPr>
          <w:rFonts w:ascii="Candara" w:hAnsi="Candara" w:cs="Times New Roman"/>
        </w:rPr>
        <w:t>kaos</w:t>
      </w:r>
      <w:proofErr w:type="gramEnd"/>
      <w:r w:rsidRPr="00EF32EB">
        <w:rPr>
          <w:rFonts w:ascii="Candara" w:hAnsi="Candara" w:cs="Times New Roman"/>
        </w:rPr>
        <w:t xml:space="preserve"> hâkim olmuştur. Böylesi bir ortamda ilmî hayatta da duraklama göze çarpmaktadır. Bu dönemde tekke ve dergâhların önemi artmış, buralar halkın huzur aradığı mekânlar olmuştur. Bu asırlar tekkelerin kurulup şeyh-mürid ilişkisiyle tarîkatların teessüs ettiği, yayıldığı bir dönemdir. Bu yüzyıllar zamanımıza kadar devam eden, Gazzâlî sonrası bir dönem olarak da sınırları çizilen, tasavvuf hareketinin kurumsallaştığı, tarîkatların kurularak tekke merkezli bir eğitimin uygulanmaya konulduğu bir tarihi kesit olarak kabul edilebilir.</w:t>
      </w:r>
    </w:p>
    <w:p w:rsidR="00B212FB" w:rsidRPr="00EF32EB" w:rsidRDefault="00B212FB" w:rsidP="00B212FB">
      <w:pPr>
        <w:ind w:firstLine="425"/>
        <w:jc w:val="both"/>
        <w:rPr>
          <w:rFonts w:ascii="Candara" w:hAnsi="Candara" w:cs="Times New Roman"/>
        </w:rPr>
      </w:pPr>
      <w:r w:rsidRPr="00EF32EB">
        <w:rPr>
          <w:rFonts w:ascii="Candara" w:hAnsi="Candara" w:cs="Times New Roman"/>
        </w:rPr>
        <w:t>1. Tarîkat hadisesi, İslâm’da yerel unsurların daha fazla bir arada bulunduğu bir ortam içinde oluştumuştur. Meselâ Kuzey Afrika dervişleri def eşliğinde zikir düzenlerken, biraz daha yüksek seviyeye şehirli kesime hitabedenler ney, Orta Asya orijinli tarîkatler de saz kullanmışlardır.</w:t>
      </w:r>
    </w:p>
    <w:p w:rsidR="00B212FB" w:rsidRPr="00EF32EB" w:rsidRDefault="00B212FB" w:rsidP="00B212FB">
      <w:pPr>
        <w:ind w:firstLine="425"/>
        <w:jc w:val="both"/>
        <w:rPr>
          <w:rFonts w:ascii="Candara" w:hAnsi="Candara" w:cs="Times New Roman"/>
        </w:rPr>
      </w:pPr>
      <w:r w:rsidRPr="00EF32EB">
        <w:rPr>
          <w:rFonts w:ascii="Candara" w:hAnsi="Candara" w:cs="Times New Roman"/>
        </w:rPr>
        <w:t>2. Tarîkatlaşma hareketi tekke, zâviye, dergâh, ribat gibi isimler verilen özgün bir yapılanmayı gerçekleştirmiştir.</w:t>
      </w:r>
    </w:p>
    <w:p w:rsidR="00B212FB" w:rsidRPr="00EF32EB" w:rsidRDefault="00B212FB" w:rsidP="00B212FB">
      <w:pPr>
        <w:ind w:firstLine="425"/>
        <w:jc w:val="both"/>
        <w:rPr>
          <w:rFonts w:ascii="Candara" w:hAnsi="Candara" w:cs="Times New Roman"/>
        </w:rPr>
      </w:pPr>
      <w:r w:rsidRPr="00EF32EB">
        <w:rPr>
          <w:rFonts w:ascii="Candara" w:hAnsi="Candara" w:cs="Times New Roman"/>
        </w:rPr>
        <w:t>3. İlk tarîkatlar bu dönemde kurulmuş olup, Bağdat’ta Abdülkādir Geylânî, Basra’da Ahmed er-Rifâî, Türkistan’da Ahmed Yesevi ilk kurulan tarîkatların pîrleridir.</w:t>
      </w:r>
    </w:p>
    <w:p w:rsidR="00B212FB" w:rsidRPr="00EF32EB" w:rsidRDefault="00B212FB" w:rsidP="00B212FB">
      <w:pPr>
        <w:ind w:firstLine="425"/>
        <w:jc w:val="both"/>
        <w:rPr>
          <w:rFonts w:ascii="Candara" w:hAnsi="Candara" w:cs="Times New Roman"/>
        </w:rPr>
      </w:pPr>
      <w:r w:rsidRPr="00EF32EB">
        <w:rPr>
          <w:rFonts w:ascii="Candara" w:hAnsi="Candara" w:cs="Times New Roman"/>
        </w:rPr>
        <w:t>4. Tasavvufî eğitim merkezi olan tekkelerle ilgili kurallar (</w:t>
      </w:r>
      <w:r w:rsidRPr="00EF32EB">
        <w:rPr>
          <w:rFonts w:ascii="Candara" w:hAnsi="Candara" w:cs="Times New Roman"/>
          <w:i/>
        </w:rPr>
        <w:t>âdâb</w:t>
      </w:r>
      <w:r w:rsidRPr="00EF32EB">
        <w:rPr>
          <w:rFonts w:ascii="Candara" w:hAnsi="Candara" w:cs="Times New Roman"/>
        </w:rPr>
        <w:t>) ortaya konulmuştur. Her tarîkat kendi eğitim sistemi dâhilinde bir usûl, âdâb ve erkân geliştirmiştir.</w:t>
      </w:r>
    </w:p>
    <w:p w:rsidR="00B212FB" w:rsidRPr="00EF32EB" w:rsidRDefault="00B212FB" w:rsidP="00B212FB">
      <w:pPr>
        <w:ind w:firstLine="425"/>
        <w:jc w:val="both"/>
        <w:rPr>
          <w:rFonts w:ascii="Candara" w:hAnsi="Candara" w:cs="Times New Roman"/>
        </w:rPr>
      </w:pPr>
      <w:r w:rsidRPr="00EF32EB">
        <w:rPr>
          <w:rFonts w:ascii="Candara" w:hAnsi="Candara" w:cs="Times New Roman"/>
        </w:rPr>
        <w:t>5. Bu dönem tarîkat kurucusu olarak kabul edilen lider sûfîlerin öğretilerinin esas alındığı bir dönemdir.</w:t>
      </w:r>
    </w:p>
    <w:p w:rsidR="00B212FB" w:rsidRPr="00EF32EB" w:rsidRDefault="00B212FB" w:rsidP="00B212FB">
      <w:pPr>
        <w:ind w:firstLine="425"/>
        <w:jc w:val="both"/>
        <w:rPr>
          <w:rFonts w:ascii="Candara" w:hAnsi="Candara" w:cs="Times New Roman"/>
        </w:rPr>
      </w:pPr>
      <w:r w:rsidRPr="00EF32EB">
        <w:rPr>
          <w:rFonts w:ascii="Candara" w:hAnsi="Candara" w:cs="Times New Roman"/>
        </w:rPr>
        <w:lastRenderedPageBreak/>
        <w:t xml:space="preserve">6. Bu asırlar, yeni yazılan eserler yanında aynı zamanda tercüme ve şerh çalışmalarının da başlayıp yaygınlaştığı asırlardır. Bu durum tasavvufi düşüncenin donuklaştığı anlamına da gelmemelidir. </w:t>
      </w:r>
    </w:p>
    <w:p w:rsidR="00B212FB" w:rsidRPr="00EF32EB" w:rsidRDefault="00B212FB" w:rsidP="00B212FB">
      <w:pPr>
        <w:ind w:firstLine="425"/>
        <w:jc w:val="both"/>
        <w:rPr>
          <w:rFonts w:ascii="Candara" w:hAnsi="Candara" w:cs="Times New Roman"/>
        </w:rPr>
      </w:pPr>
      <w:r w:rsidRPr="00EF32EB">
        <w:rPr>
          <w:rFonts w:ascii="Candara" w:hAnsi="Candara" w:cs="Times New Roman"/>
        </w:rPr>
        <w:t>7. Bu dönemde tasavvufi düşünce yavaş yavaş felsefi kavramlarla da izah edilmeye başlanmış, bu çizgide İbn Arabî, Sadreddin Konevî, İbn Fârız, Burhaneddin Muhakkık Tirmizî, Evhadüddin Kirmânî, Mevlânâ, Ferîdüddîn Attâr gibi güçlü simalar yetişmiştir.  Özellikle İbn Arabî’nin tesiri hemen bütün tarîkatlarda kendini hissettirmiş, vahdet-i vücûd fikri tasavvuf çevrelerinde yayılmıştır.</w:t>
      </w:r>
    </w:p>
    <w:p w:rsidR="00B212FB" w:rsidRPr="00EF32EB" w:rsidRDefault="00B212FB" w:rsidP="00B212FB">
      <w:pPr>
        <w:ind w:firstLine="425"/>
        <w:jc w:val="both"/>
        <w:rPr>
          <w:rFonts w:ascii="Candara" w:hAnsi="Candara" w:cs="Times New Roman"/>
        </w:rPr>
      </w:pPr>
      <w:r w:rsidRPr="00EF32EB">
        <w:rPr>
          <w:rFonts w:ascii="Candara" w:hAnsi="Candara" w:cs="Times New Roman"/>
        </w:rPr>
        <w:t xml:space="preserve">8. Bu dönemde tekke ve zaviyeler çok yönlü hizmetler görmüşler ve tüm toplum bireylerini etkilemişlerdir. Tekkeler müridlerin ahlâken yetiştirildiği mekânlar olmakla birlikte nazarî pek çok meselenin de öğrenilip tartışıldığı mahaller olmuştur. </w:t>
      </w:r>
    </w:p>
    <w:p w:rsidR="00B212FB" w:rsidRPr="00EF32EB" w:rsidRDefault="00B212FB" w:rsidP="00B212FB">
      <w:pPr>
        <w:ind w:firstLine="425"/>
        <w:jc w:val="both"/>
        <w:rPr>
          <w:rFonts w:ascii="Candara" w:hAnsi="Candara" w:cs="Times New Roman"/>
        </w:rPr>
      </w:pPr>
      <w:r w:rsidRPr="00EF32EB">
        <w:rPr>
          <w:rFonts w:ascii="Candara" w:hAnsi="Candara" w:cs="Times New Roman"/>
        </w:rPr>
        <w:t>9. Bu dönem aynı zamanda tasavvufî düşünceye karşı bazı tepkilerin oluştuğu ve tarîkat uygulamalarından kaynaklanan birtakım ihtilafların da yaşandığı bir dönemdir.</w:t>
      </w:r>
    </w:p>
    <w:p w:rsidR="00B212FB" w:rsidRPr="00EF32EB" w:rsidRDefault="00B212FB" w:rsidP="00B212FB">
      <w:pPr>
        <w:ind w:firstLine="425"/>
        <w:jc w:val="both"/>
        <w:rPr>
          <w:rFonts w:ascii="Candara" w:hAnsi="Candara" w:cs="Times New Roman"/>
        </w:rPr>
      </w:pPr>
      <w:r w:rsidRPr="00EF32EB">
        <w:rPr>
          <w:rFonts w:ascii="Candara" w:hAnsi="Candara" w:cs="Times New Roman"/>
        </w:rPr>
        <w:t xml:space="preserve">10. Tarîkatlardan bir kısmı çıkışı ve devamı itibariyle ehl-i sünnet çizgisinde bir özelliğe sahipken, kimileri bâtıl tarîkat olarak görülmüş ve bunlar yıkıcı, saptırıcı faaliyetlerde bulunmuşlar, kimileri de zaman içinde, çıkışındaki özelliklerini kaybederek birtakım olumsuzlukların nedeni hâline gelmişlerdir. Ehl-i sünnet tasavvufu bir yandan kurumlaşırken bir yandan da bazı Kalenderî zümreler tasavvufi kisve altında faaliyet göstermişlerdir. </w:t>
      </w:r>
    </w:p>
    <w:p w:rsidR="00B212FB" w:rsidRPr="00EF32EB" w:rsidRDefault="00B212FB" w:rsidP="00B212FB">
      <w:pPr>
        <w:ind w:firstLine="425"/>
        <w:jc w:val="both"/>
        <w:rPr>
          <w:rFonts w:ascii="Candara" w:hAnsi="Candara" w:cs="Times New Roman"/>
        </w:rPr>
      </w:pPr>
      <w:r w:rsidRPr="00EF32EB">
        <w:rPr>
          <w:rFonts w:ascii="Candara" w:hAnsi="Candara" w:cs="Times New Roman"/>
          <w:b/>
        </w:rPr>
        <w:t>H. VIII. ve IX. / M. XIV ve XV.</w:t>
      </w:r>
      <w:r w:rsidRPr="00EF32EB">
        <w:rPr>
          <w:rFonts w:ascii="Candara" w:hAnsi="Candara" w:cs="Times New Roman"/>
        </w:rPr>
        <w:t xml:space="preserve"> </w:t>
      </w:r>
      <w:r w:rsidRPr="00EF32EB">
        <w:rPr>
          <w:rFonts w:ascii="Candara" w:hAnsi="Candara" w:cs="Times New Roman"/>
          <w:b/>
        </w:rPr>
        <w:t>asırlar</w:t>
      </w:r>
      <w:r w:rsidRPr="00EF32EB">
        <w:rPr>
          <w:rFonts w:ascii="Candara" w:hAnsi="Candara" w:cs="Times New Roman"/>
        </w:rPr>
        <w:t xml:space="preserve"> Osmanlı Devleti’nin kuruluş ve yükseliş dönemine rastlar. Bu dönemde tarîkatların en nüfuzlu dönemini yaşamaya başladığı söylenebilir. </w:t>
      </w:r>
    </w:p>
    <w:p w:rsidR="00B212FB" w:rsidRPr="00EF32EB" w:rsidRDefault="00B212FB" w:rsidP="00B212FB">
      <w:pPr>
        <w:ind w:firstLine="425"/>
        <w:jc w:val="both"/>
        <w:rPr>
          <w:rFonts w:ascii="Candara" w:hAnsi="Candara" w:cs="Times New Roman"/>
        </w:rPr>
      </w:pPr>
      <w:r w:rsidRPr="00EF32EB">
        <w:rPr>
          <w:rFonts w:ascii="Candara" w:hAnsi="Candara" w:cs="Times New Roman"/>
        </w:rPr>
        <w:t>1. Osmanlı devletinin kuruluşunda dervişlerin olumlu katkılarının büyük rolü ile başlayan tarîkat çevreleri ve devlet ricali arasındaki münasebet zaman içinde daha da artmıştır.</w:t>
      </w:r>
    </w:p>
    <w:p w:rsidR="00B212FB" w:rsidRPr="00EF32EB" w:rsidRDefault="00B212FB" w:rsidP="00B212FB">
      <w:pPr>
        <w:ind w:firstLine="425"/>
        <w:jc w:val="both"/>
        <w:rPr>
          <w:rFonts w:ascii="Candara" w:hAnsi="Candara" w:cs="Times New Roman"/>
        </w:rPr>
      </w:pPr>
      <w:r w:rsidRPr="00EF32EB">
        <w:rPr>
          <w:rFonts w:ascii="Candara" w:hAnsi="Candara" w:cs="Times New Roman"/>
        </w:rPr>
        <w:t>2. Osmanlı Devleti’nin kuruluşunda etkili olan zümreler, Âşıkpaşazade’nin ifadesiyle, “Abdalân-ı Rum”, “Gaziyân-ı Rum”, “Ahîyân-ı Rum” ve “Baciyân-ı Rum”dur. Bu zümrelerden Gaziyân-ı Rum, fütüvvetin seyfî kolu olarak kabul edilir.</w:t>
      </w:r>
    </w:p>
    <w:p w:rsidR="00B212FB" w:rsidRPr="00EF32EB" w:rsidRDefault="00B212FB" w:rsidP="00B212FB">
      <w:pPr>
        <w:ind w:firstLine="425"/>
        <w:jc w:val="both"/>
        <w:rPr>
          <w:rFonts w:ascii="Candara" w:hAnsi="Candara" w:cs="Times New Roman"/>
        </w:rPr>
      </w:pPr>
      <w:r w:rsidRPr="00EF32EB">
        <w:rPr>
          <w:rFonts w:ascii="Candara" w:hAnsi="Candara" w:cs="Times New Roman"/>
        </w:rPr>
        <w:t>3. Anadolu’da güçlenen Ahîlik teşkilatının da bu dönemde önemli hizmetleri olmuştur. Pek çok ahî reisinin Anadolu’nun çeşitli bölgelerine yerleşerek buralarda imar ve iskân faaliyeti yürütmeleri, bir yandan da dini tebliğ ve irşad görevi yürütmeleri dikkat çekici bir gelişmedir.</w:t>
      </w:r>
    </w:p>
    <w:p w:rsidR="00B212FB" w:rsidRPr="00EF32EB" w:rsidRDefault="00B212FB" w:rsidP="00B212FB">
      <w:pPr>
        <w:ind w:firstLine="425"/>
        <w:jc w:val="both"/>
        <w:rPr>
          <w:rFonts w:ascii="Candara" w:hAnsi="Candara" w:cs="Times New Roman"/>
        </w:rPr>
      </w:pPr>
      <w:r w:rsidRPr="00EF32EB">
        <w:rPr>
          <w:rFonts w:ascii="Candara" w:hAnsi="Candara" w:cs="Times New Roman"/>
        </w:rPr>
        <w:t>4. Bu asırlarda yaşayan Yunus Emre (ö. 721/1321) bir tarîkat pîri olmasa da heyecanlı bir mutasavvıf ve aşk şâiridir.</w:t>
      </w:r>
    </w:p>
    <w:p w:rsidR="00B212FB" w:rsidRPr="00EF32EB" w:rsidRDefault="00B212FB" w:rsidP="00B212FB">
      <w:pPr>
        <w:ind w:firstLine="425"/>
        <w:jc w:val="both"/>
        <w:rPr>
          <w:rFonts w:ascii="Candara" w:hAnsi="Candara" w:cs="Times New Roman"/>
        </w:rPr>
      </w:pPr>
      <w:r w:rsidRPr="00EF32EB">
        <w:rPr>
          <w:rFonts w:ascii="Candara" w:hAnsi="Candara" w:cs="Times New Roman"/>
        </w:rPr>
        <w:t xml:space="preserve">5. Bu devirde tarîkatların güçlenmesinin yanı sıra Osmanlı’da İbn Arabî düşüncesinin sistemleşmesine katkıda bulunan Dâvûd el-Kayseri (ö. 751/1350) ve Molla Fenârî (ö. 834/1431) gibi isimler görülmektedir. Dâvûd el-Kayserî Osmanlı’da kurulan ilk medresenin baş müderrisi ve </w:t>
      </w:r>
      <w:r w:rsidRPr="00EF32EB">
        <w:rPr>
          <w:rFonts w:ascii="Candara" w:hAnsi="Candara" w:cs="Times New Roman"/>
          <w:i/>
        </w:rPr>
        <w:t>Fusûs</w:t>
      </w:r>
      <w:r w:rsidRPr="00EF32EB">
        <w:rPr>
          <w:rFonts w:ascii="Candara" w:hAnsi="Candara" w:cs="Times New Roman"/>
        </w:rPr>
        <w:t xml:space="preserve"> şârihidir. Molla Fenârî ise Osmanlı’da ilk şeyhülislâm olarak kabul edilmiş olup, aynı zamanda Konevî’nin </w:t>
      </w:r>
      <w:r w:rsidRPr="00EF32EB">
        <w:rPr>
          <w:rFonts w:ascii="Candara" w:hAnsi="Candara" w:cs="Times New Roman"/>
          <w:i/>
        </w:rPr>
        <w:t>Miftâhü’l-Gayb</w:t>
      </w:r>
      <w:r w:rsidRPr="00EF32EB">
        <w:rPr>
          <w:rFonts w:ascii="Candara" w:hAnsi="Candara" w:cs="Times New Roman"/>
        </w:rPr>
        <w:t>’ını şerhetmiştir.</w:t>
      </w:r>
    </w:p>
    <w:p w:rsidR="00B212FB" w:rsidRPr="00EF32EB" w:rsidRDefault="00B212FB" w:rsidP="00B212FB">
      <w:pPr>
        <w:ind w:firstLine="425"/>
        <w:jc w:val="both"/>
        <w:rPr>
          <w:rFonts w:ascii="Candara" w:hAnsi="Candara"/>
        </w:rPr>
      </w:pPr>
      <w:r w:rsidRPr="00EF32EB">
        <w:rPr>
          <w:rFonts w:ascii="Candara" w:hAnsi="Candara"/>
        </w:rPr>
        <w:t xml:space="preserve">6. Bu yüzyıllarda Osmanlı tasavvuf düşüncesini şekillendiren önemli diğer bazı isimler şunlardır. </w:t>
      </w:r>
      <w:proofErr w:type="gramStart"/>
      <w:r w:rsidRPr="00EF32EB">
        <w:rPr>
          <w:rFonts w:ascii="Candara" w:hAnsi="Candara"/>
        </w:rPr>
        <w:t xml:space="preserve">Garibnâme müellifi Âşık Paşa (ö. 733/1332), </w:t>
      </w:r>
      <w:r w:rsidRPr="00EF32EB">
        <w:rPr>
          <w:rFonts w:ascii="Candara" w:hAnsi="Candara"/>
          <w:i/>
        </w:rPr>
        <w:t>Fusûs</w:t>
      </w:r>
      <w:r w:rsidRPr="00EF32EB">
        <w:rPr>
          <w:rFonts w:ascii="Candara" w:hAnsi="Candara"/>
        </w:rPr>
        <w:t xml:space="preserve"> şârihi Kutbuddîn İznikî (ö. 821/1418), </w:t>
      </w:r>
      <w:r w:rsidRPr="00EF32EB">
        <w:rPr>
          <w:rFonts w:ascii="Candara" w:hAnsi="Candara"/>
          <w:i/>
        </w:rPr>
        <w:t>Vâridât</w:t>
      </w:r>
      <w:r w:rsidRPr="00EF32EB">
        <w:rPr>
          <w:rFonts w:ascii="Candara" w:hAnsi="Candara"/>
        </w:rPr>
        <w:t xml:space="preserve"> müellifi Şeyh Bedreddin (ö. 823/1420), </w:t>
      </w:r>
      <w:r w:rsidRPr="00EF32EB">
        <w:rPr>
          <w:rFonts w:ascii="Candara" w:hAnsi="Candara"/>
          <w:i/>
        </w:rPr>
        <w:t>Tazarrûnâme</w:t>
      </w:r>
      <w:r w:rsidRPr="00EF32EB">
        <w:rPr>
          <w:rFonts w:ascii="Candara" w:hAnsi="Candara"/>
        </w:rPr>
        <w:t xml:space="preserve"> müelifi Sinan Paşa (ö. 891/1486), Vesîletü’n-Necât yazarı Süleyman Çelebi (ö. 825/1422), </w:t>
      </w:r>
      <w:r w:rsidRPr="00EF32EB">
        <w:rPr>
          <w:rFonts w:ascii="Candara" w:hAnsi="Candara"/>
          <w:i/>
        </w:rPr>
        <w:t>Müzekki’n-Nüfûs</w:t>
      </w:r>
      <w:r w:rsidRPr="00EF32EB">
        <w:rPr>
          <w:rFonts w:ascii="Candara" w:hAnsi="Candara"/>
        </w:rPr>
        <w:t xml:space="preserve"> yazarı sûfî-şâir Eşrefoğlu Rûmî (ö. 874/1469 - 70 [?]), </w:t>
      </w:r>
      <w:r w:rsidRPr="00EF32EB">
        <w:rPr>
          <w:rFonts w:ascii="Candara" w:hAnsi="Candara"/>
        </w:rPr>
        <w:lastRenderedPageBreak/>
        <w:t xml:space="preserve">Bayrâmiyye tarîkatının pîri Hacı Bayrâmı Velî (ö. 833/1430), </w:t>
      </w:r>
      <w:r w:rsidRPr="00EF32EB">
        <w:rPr>
          <w:rFonts w:ascii="Candara" w:hAnsi="Candara"/>
          <w:i/>
        </w:rPr>
        <w:t>Gülzâr-ı Mânevî</w:t>
      </w:r>
      <w:r w:rsidRPr="00EF32EB">
        <w:rPr>
          <w:rFonts w:ascii="Candara" w:hAnsi="Candara"/>
        </w:rPr>
        <w:t xml:space="preserve"> müellifi İbrâhim Tennûrî (ö. 887/1482), </w:t>
      </w:r>
      <w:r w:rsidRPr="00EF32EB">
        <w:rPr>
          <w:rFonts w:ascii="Candara" w:hAnsi="Candara"/>
          <w:i/>
        </w:rPr>
        <w:t>Miftâhü’l-Gayb</w:t>
      </w:r>
      <w:r w:rsidRPr="00EF32EB">
        <w:rPr>
          <w:rFonts w:ascii="Candara" w:hAnsi="Candara"/>
        </w:rPr>
        <w:t xml:space="preserve"> ve </w:t>
      </w:r>
      <w:r w:rsidRPr="00EF32EB">
        <w:rPr>
          <w:rFonts w:ascii="Candara" w:hAnsi="Candara"/>
          <w:i/>
        </w:rPr>
        <w:t>Gülşen-i Râz</w:t>
      </w:r>
      <w:r w:rsidRPr="00EF32EB">
        <w:rPr>
          <w:rFonts w:ascii="Candara" w:hAnsi="Candara"/>
        </w:rPr>
        <w:t xml:space="preserve"> şârihi Ahmed İlâhî (ö. XV. yy), Anadolu’ya Nakşîliği getiren ve tasavvufâ ait geride önemli bir külliyat bırakan Abdullah İlâhî (ö. 896/1491), Muhammediyye yazarı Yazıcıoğlu Mehmed Efendi (ö. 855/1451). Bu isimlerin yanı sıra Hüsameddin Bitlisî (ö. 1495), Elvân-ı Şîrâzî (ö. 829/1426’dan sonra), Ahmed Bîcan (ö. 870/1466’dan sonra), Muslihuddin Mustafa (ö. 896/1491), Yakub Çerhî (ö. 1447), Yusuf-ı Hakikî (ö. 893/1488), Cemâl Halvetî (ö. 899/1494), Abdüllatîf Kudsî (ö. 1452) gibi dönemin tarîkat hayatında da etkin olan pek çok sûfî müellif ve şâir bulunmaktadır.</w:t>
      </w:r>
      <w:proofErr w:type="gramEnd"/>
    </w:p>
    <w:p w:rsidR="00B212FB" w:rsidRPr="00EF32EB" w:rsidRDefault="00B212FB" w:rsidP="00B212FB">
      <w:pPr>
        <w:ind w:firstLine="425"/>
        <w:jc w:val="both"/>
        <w:rPr>
          <w:rFonts w:ascii="Candara" w:hAnsi="Candara" w:cs="Times New Roman"/>
        </w:rPr>
      </w:pPr>
      <w:r w:rsidRPr="00EF32EB">
        <w:rPr>
          <w:rFonts w:ascii="Candara" w:hAnsi="Candara" w:cs="Times New Roman"/>
        </w:rPr>
        <w:t>7. Devletin ilk kadı ve hukukçusu olan Şeyh Edebâlî (ö. 1326) aynı zamanda bir ahî reisi olarak da bilinir. Vefaiyye tarîkatine mensup olan Edebâlî ilim ve irfanı bir arada toplayabilmiştir. Bu durum da devletin tasavvufî zümrelerle olan yakın münasebetini gösteren örneklerdendir.</w:t>
      </w:r>
    </w:p>
    <w:p w:rsidR="00B212FB" w:rsidRPr="00EF32EB" w:rsidRDefault="00B212FB" w:rsidP="00B212FB">
      <w:pPr>
        <w:ind w:firstLine="425"/>
        <w:jc w:val="both"/>
        <w:rPr>
          <w:rFonts w:ascii="Candara" w:hAnsi="Candara" w:cs="Times New Roman"/>
        </w:rPr>
      </w:pPr>
      <w:r w:rsidRPr="00EF32EB">
        <w:rPr>
          <w:rFonts w:ascii="Candara" w:hAnsi="Candara" w:cs="Times New Roman"/>
        </w:rPr>
        <w:t>8. Bu asırlar Anadolu’da tasavvufî tefekkürün yükselişe geçtiği görülmektedir. Ekberiyye, Mevleviyye ve Zeyniyye tarîkatları yayılmaya başlamıştır.</w:t>
      </w:r>
    </w:p>
    <w:p w:rsidR="00B212FB" w:rsidRPr="00EF32EB" w:rsidRDefault="00B212FB" w:rsidP="00B212FB">
      <w:pPr>
        <w:ind w:firstLine="425"/>
        <w:jc w:val="both"/>
        <w:rPr>
          <w:rFonts w:ascii="Candara" w:hAnsi="Candara" w:cs="Times New Roman"/>
        </w:rPr>
      </w:pPr>
      <w:r w:rsidRPr="00EF32EB">
        <w:rPr>
          <w:rFonts w:ascii="Candara" w:hAnsi="Candara" w:cs="Times New Roman"/>
        </w:rPr>
        <w:t>9. Osmanlının kuruluş yıllarında Şam bölgesinde yaşamış olan İbn Teymiyye (ö. 728/1328) özelikle İbn Arabî ve taraftarlarına karşı tutum almışsa da Osmanlı coğrafyasında taraftar bulamamıştır.</w:t>
      </w:r>
    </w:p>
    <w:p w:rsidR="00B212FB" w:rsidRPr="00EF32EB" w:rsidRDefault="00B212FB" w:rsidP="00B212FB">
      <w:pPr>
        <w:ind w:firstLine="425"/>
        <w:jc w:val="both"/>
        <w:rPr>
          <w:rFonts w:ascii="Candara" w:hAnsi="Candara" w:cs="Times New Roman"/>
        </w:rPr>
      </w:pPr>
      <w:r w:rsidRPr="00EF32EB">
        <w:rPr>
          <w:rFonts w:ascii="Candara" w:hAnsi="Candara" w:cs="Times New Roman"/>
          <w:b/>
        </w:rPr>
        <w:t>H. X. / M. XVI. asır</w:t>
      </w:r>
      <w:r w:rsidRPr="00EF32EB">
        <w:rPr>
          <w:rFonts w:ascii="Candara" w:hAnsi="Candara" w:cs="Times New Roman"/>
        </w:rPr>
        <w:t xml:space="preserve"> tarîkatların kuruluşlarını tamamladıkları, şiirsel anlatım ve edebiyatta vahdet-i vücûd telakkisinin yaygınlaştığı bir dönemdir. Bu dönem âdâb ve erkâna dair eserlerin teliflerinin büyük ölçüde tamamlandığı bir dönemdir.</w:t>
      </w:r>
    </w:p>
    <w:p w:rsidR="00B212FB" w:rsidRPr="00EF32EB" w:rsidRDefault="00B212FB" w:rsidP="00B212FB">
      <w:pPr>
        <w:ind w:firstLine="425"/>
        <w:jc w:val="both"/>
        <w:rPr>
          <w:rFonts w:ascii="Candara" w:hAnsi="Candara" w:cs="Times New Roman"/>
        </w:rPr>
      </w:pPr>
      <w:r w:rsidRPr="00EF32EB">
        <w:rPr>
          <w:rFonts w:ascii="Candara" w:hAnsi="Candara" w:cs="Times New Roman"/>
        </w:rPr>
        <w:t>1. Bu yüzyılda Anadolu’da en yaygın tarîkat Halvetilik’tir.</w:t>
      </w:r>
    </w:p>
    <w:p w:rsidR="00B212FB" w:rsidRPr="00EF32EB" w:rsidRDefault="00B212FB" w:rsidP="00B212FB">
      <w:pPr>
        <w:ind w:firstLine="425"/>
        <w:jc w:val="both"/>
        <w:rPr>
          <w:rFonts w:ascii="Candara" w:hAnsi="Candara" w:cs="Times New Roman"/>
        </w:rPr>
      </w:pPr>
      <w:r w:rsidRPr="00EF32EB">
        <w:rPr>
          <w:rFonts w:ascii="Candara" w:hAnsi="Candara" w:cs="Times New Roman"/>
        </w:rPr>
        <w:t>2. Bu dönemde Osmanlı devlet ricali ile tarîkat mensupları arasında müsbet münasebetler dikkati çekmektedir. Özellikle II. Beyazıt, Yavuz ve Kanuni’nin tarîkat çevreleri ile olan ilgisi göze çarpmaktadır. Örneğin, seferlerde manevî önderlerin orduya destek amacıyla iştirak ettikleri görülür.</w:t>
      </w:r>
    </w:p>
    <w:p w:rsidR="00B212FB" w:rsidRPr="00EF32EB" w:rsidRDefault="00B212FB" w:rsidP="00B212FB">
      <w:pPr>
        <w:ind w:firstLine="425"/>
        <w:jc w:val="both"/>
        <w:rPr>
          <w:rFonts w:ascii="Candara" w:hAnsi="Candara" w:cs="Times New Roman"/>
        </w:rPr>
      </w:pPr>
      <w:r w:rsidRPr="00EF32EB">
        <w:rPr>
          <w:rFonts w:ascii="Candara" w:hAnsi="Candara" w:cs="Times New Roman"/>
        </w:rPr>
        <w:t>3. Bu asırda İsmail Ma‘şûkî, Hamza Balî ve Muhyiddin Karamanî gibi sûfîlerin bir takım dinî ve siyâsî sebeplere dayanılarak idam edildiği görülür. Bu bakımdan tarîkat çevreleri ile devlet yönetimi arasında zaman zaman münasebetlerin gerildiği ifade edilebilir.</w:t>
      </w:r>
    </w:p>
    <w:p w:rsidR="00B212FB" w:rsidRPr="00EF32EB" w:rsidRDefault="00B212FB" w:rsidP="00B212FB">
      <w:pPr>
        <w:ind w:firstLine="425"/>
        <w:jc w:val="both"/>
        <w:rPr>
          <w:rFonts w:ascii="Candara" w:hAnsi="Candara" w:cs="Times New Roman"/>
        </w:rPr>
      </w:pPr>
      <w:r w:rsidRPr="00EF32EB">
        <w:rPr>
          <w:rFonts w:ascii="Candara" w:hAnsi="Candara" w:cs="Times New Roman"/>
        </w:rPr>
        <w:t>4. Nakşibendiyye’nin hafî zikri benimsemesi ve müntesiplerine sema etmeyi yasaklaması, ilmiye sınıfının daha ziyade bu tarîkata yönelmesine neden olmuştur.</w:t>
      </w:r>
    </w:p>
    <w:p w:rsidR="00B212FB" w:rsidRPr="00EF32EB" w:rsidRDefault="00B212FB" w:rsidP="00B212FB">
      <w:pPr>
        <w:ind w:firstLine="425"/>
        <w:jc w:val="both"/>
        <w:rPr>
          <w:rFonts w:ascii="Candara" w:hAnsi="Candara" w:cs="Times New Roman"/>
        </w:rPr>
      </w:pPr>
      <w:r w:rsidRPr="00EF32EB">
        <w:rPr>
          <w:rFonts w:ascii="Candara" w:hAnsi="Candara" w:cs="Times New Roman"/>
        </w:rPr>
        <w:t>5. Bu dönemde müderris, hattat, kadı, musıkîşinâs kimliğe sahip sûfîlerin de bulunması ilmiye sınıfını tarîkatlara biraz daha yaklaştırmıştır.</w:t>
      </w:r>
    </w:p>
    <w:p w:rsidR="00B212FB" w:rsidRPr="00EF32EB" w:rsidRDefault="00B212FB" w:rsidP="00B212FB">
      <w:pPr>
        <w:ind w:firstLine="425"/>
        <w:jc w:val="both"/>
        <w:rPr>
          <w:rFonts w:ascii="Candara" w:hAnsi="Candara" w:cs="Times New Roman"/>
        </w:rPr>
      </w:pPr>
      <w:r w:rsidRPr="00EF32EB">
        <w:rPr>
          <w:rFonts w:ascii="Candara" w:hAnsi="Candara" w:cs="Times New Roman"/>
        </w:rPr>
        <w:t>6. Bu dönemde Osmanlı coğrafyasında özellikle Şeyhülislam İbn Kemal’in İbn Arabî hakkındaki müsbet fetvasından sonra vahdet-i vücûd fikrinin daha da yaygınlaştığı görülür.</w:t>
      </w:r>
    </w:p>
    <w:p w:rsidR="00B212FB" w:rsidRPr="00EF32EB" w:rsidRDefault="00B212FB" w:rsidP="00B212FB">
      <w:pPr>
        <w:ind w:firstLine="425"/>
        <w:jc w:val="both"/>
        <w:rPr>
          <w:rFonts w:ascii="Candara" w:hAnsi="Candara" w:cs="Times New Roman"/>
        </w:rPr>
      </w:pPr>
      <w:proofErr w:type="gramStart"/>
      <w:r w:rsidRPr="00EF32EB">
        <w:rPr>
          <w:rFonts w:ascii="Candara" w:hAnsi="Candara" w:cs="Times New Roman"/>
        </w:rPr>
        <w:t xml:space="preserve">7. </w:t>
      </w:r>
      <w:r w:rsidRPr="00EF32EB">
        <w:rPr>
          <w:rFonts w:ascii="Candara" w:hAnsi="Candara" w:cstheme="majorBidi"/>
        </w:rPr>
        <w:t xml:space="preserve">Bu dönemim Osmanlı sûfîleri arasında Beşiktaşlı Yahya Efendi </w:t>
      </w:r>
      <w:r w:rsidRPr="00EF32EB">
        <w:rPr>
          <w:rFonts w:ascii="Candara" w:hAnsi="Candara" w:cstheme="majorBidi"/>
          <w:shd w:val="clear" w:color="auto" w:fill="FDFDFD"/>
        </w:rPr>
        <w:t xml:space="preserve">(ö. 978/1571), </w:t>
      </w:r>
      <w:r w:rsidRPr="00EF32EB">
        <w:rPr>
          <w:rFonts w:ascii="Candara" w:hAnsi="Candara" w:cstheme="majorBidi"/>
        </w:rPr>
        <w:t>Nûreddinzâde Muslihuddin Mustafa el-Filibevî (ö. 981/1573), Abdurrahman el-Askerî (XVI. yy)</w:t>
      </w:r>
      <w:r w:rsidRPr="00EF32EB">
        <w:rPr>
          <w:rFonts w:ascii="Candara" w:hAnsi="Candara" w:cs="Times New Roman"/>
        </w:rPr>
        <w:t xml:space="preserve">, </w:t>
      </w:r>
      <w:r w:rsidRPr="00EF32EB">
        <w:rPr>
          <w:rFonts w:ascii="Candara" w:hAnsi="Candara" w:cstheme="majorBidi"/>
        </w:rPr>
        <w:t>İbn Kemal (Kemalpaşazade) (ö. 940/1534)</w:t>
      </w:r>
      <w:r w:rsidRPr="00EF32EB">
        <w:rPr>
          <w:rFonts w:ascii="Candara" w:hAnsi="Candara" w:cs="Times New Roman"/>
        </w:rPr>
        <w:t xml:space="preserve">, </w:t>
      </w:r>
      <w:r w:rsidRPr="00EF32EB">
        <w:rPr>
          <w:rFonts w:ascii="Candara" w:hAnsi="Candara" w:cstheme="majorBidi"/>
        </w:rPr>
        <w:t>Ahmed Şemseddin Marmaravî (ö. 910/1504)</w:t>
      </w:r>
      <w:r w:rsidRPr="00EF32EB">
        <w:rPr>
          <w:rFonts w:ascii="Candara" w:hAnsi="Candara" w:cs="Times New Roman"/>
        </w:rPr>
        <w:t xml:space="preserve">, </w:t>
      </w:r>
      <w:r w:rsidRPr="00EF32EB">
        <w:rPr>
          <w:rFonts w:ascii="Candara" w:hAnsi="Candara" w:cstheme="majorBidi"/>
        </w:rPr>
        <w:t>Emîr Buhârî (ö. 922/1516)</w:t>
      </w:r>
      <w:r w:rsidRPr="00EF32EB">
        <w:rPr>
          <w:rFonts w:ascii="Candara" w:hAnsi="Candara" w:cs="Times New Roman"/>
        </w:rPr>
        <w:t xml:space="preserve">, </w:t>
      </w:r>
      <w:r w:rsidRPr="00EF32EB">
        <w:rPr>
          <w:rFonts w:ascii="Candara" w:hAnsi="Candara" w:cstheme="majorBidi"/>
        </w:rPr>
        <w:t>İbrâhim Gülşenî (ö. 940/1534)</w:t>
      </w:r>
      <w:r w:rsidRPr="00EF32EB">
        <w:rPr>
          <w:rFonts w:ascii="Candara" w:hAnsi="Candara" w:cs="Times New Roman"/>
        </w:rPr>
        <w:t xml:space="preserve">, </w:t>
      </w:r>
      <w:r w:rsidRPr="00EF32EB">
        <w:rPr>
          <w:rFonts w:ascii="Candara" w:hAnsi="Candara" w:cstheme="majorBidi"/>
        </w:rPr>
        <w:t>Nimetullah Nahcuvanî (ö. 920/1514 [?])</w:t>
      </w:r>
      <w:r w:rsidRPr="00EF32EB">
        <w:rPr>
          <w:rFonts w:ascii="Candara" w:hAnsi="Candara" w:cs="Times New Roman"/>
        </w:rPr>
        <w:t xml:space="preserve">, </w:t>
      </w:r>
      <w:r w:rsidRPr="00EF32EB">
        <w:rPr>
          <w:rFonts w:ascii="Candara" w:hAnsi="Candara" w:cstheme="majorBidi"/>
        </w:rPr>
        <w:t xml:space="preserve">Sofyalı Bâlî Efendi (ö. 960/1553) gibi isimler yer almaktadır. </w:t>
      </w:r>
      <w:proofErr w:type="gramEnd"/>
    </w:p>
    <w:p w:rsidR="00B212FB" w:rsidRPr="00EF32EB" w:rsidRDefault="00B212FB" w:rsidP="00B212FB">
      <w:pPr>
        <w:ind w:firstLine="425"/>
        <w:jc w:val="both"/>
        <w:rPr>
          <w:rFonts w:ascii="Candara" w:hAnsi="Candara" w:cs="Times New Roman"/>
        </w:rPr>
      </w:pPr>
      <w:r w:rsidRPr="00EF32EB">
        <w:rPr>
          <w:rFonts w:ascii="Candara" w:hAnsi="Candara" w:cs="Times New Roman"/>
          <w:b/>
        </w:rPr>
        <w:lastRenderedPageBreak/>
        <w:t>H. XI. / M. XVII. asır</w:t>
      </w:r>
      <w:r w:rsidRPr="00EF32EB">
        <w:rPr>
          <w:rFonts w:ascii="Candara" w:hAnsi="Candara" w:cs="Times New Roman"/>
        </w:rPr>
        <w:t xml:space="preserve"> tasavvufi düşünce açısından dinamik bir dönem olmakla birlikte zâhir ehli ile yaşanan bazı problemler bu döneme damgasını vurmuştur. Kadızâdeliler ile Sivasîler arasında bu asırdaki “medrese-tekke” kavgası zaman zaman grupların birbirini tekfire varan boyutlara ulaşmıştır. Kadızadelilerin sert tavırlarına karşılık sûfîler onlara sadece eserlerinde reddiyeler kaleme alarak düzeyli bir karşılık vermişlerdir.</w:t>
      </w:r>
      <w:r w:rsidRPr="00EF32EB">
        <w:rPr>
          <w:rStyle w:val="DipnotBavurusu"/>
          <w:rFonts w:ascii="Candara" w:hAnsi="Candara"/>
        </w:rPr>
        <w:footnoteReference w:id="1"/>
      </w:r>
      <w:r w:rsidRPr="00EF32EB">
        <w:rPr>
          <w:rFonts w:ascii="Candara" w:hAnsi="Candara" w:cs="Times New Roman"/>
        </w:rPr>
        <w:t xml:space="preserve"> </w:t>
      </w:r>
      <w:r w:rsidRPr="00EF32EB">
        <w:rPr>
          <w:rFonts w:ascii="Candara" w:hAnsi="Candara" w:cs="Times New Roman"/>
          <w:shd w:val="clear" w:color="auto" w:fill="FFFFFF"/>
        </w:rPr>
        <w:t xml:space="preserve">Kâtib Çelebi’nin (ö. 1067/1657) </w:t>
      </w:r>
      <w:r w:rsidRPr="00EF32EB">
        <w:rPr>
          <w:rFonts w:ascii="Candara" w:hAnsi="Candara" w:cs="Times New Roman"/>
          <w:i/>
          <w:shd w:val="clear" w:color="auto" w:fill="FFFFFF"/>
        </w:rPr>
        <w:t>Mîzânü’l-hak fî ihtiyâri’l-ehak</w:t>
      </w:r>
      <w:r w:rsidRPr="00EF32EB">
        <w:rPr>
          <w:rFonts w:ascii="Candara" w:hAnsi="Candara" w:cs="Times New Roman"/>
          <w:shd w:val="clear" w:color="auto" w:fill="FFFFFF"/>
        </w:rPr>
        <w:t xml:space="preserve"> adlı eserinde söz konusu tartışmanın detaylarına yer verilir. </w:t>
      </w:r>
    </w:p>
    <w:p w:rsidR="00B212FB" w:rsidRPr="00EF32EB" w:rsidRDefault="00B212FB" w:rsidP="00B212FB">
      <w:pPr>
        <w:ind w:firstLine="425"/>
        <w:jc w:val="both"/>
        <w:rPr>
          <w:rFonts w:ascii="Candara" w:hAnsi="Candara"/>
        </w:rPr>
      </w:pPr>
      <w:proofErr w:type="gramStart"/>
      <w:r w:rsidRPr="00EF32EB">
        <w:rPr>
          <w:rFonts w:ascii="Candara" w:hAnsi="Candara"/>
        </w:rPr>
        <w:t xml:space="preserve">Dönemin önemli bazı isimleri şunlardır: İsmâil Rusûhî Ankaravî (ö. 1041/1631), Sarı Abdullah Efendi (ö. 1071/1660), Azîz Mahmûd Hüdâyî (ö. 1038/1628), Niyâzî-i Mısrî (ö. 1105/1694), Ömer Fuâdî (ö. 1046/1636), Cemâleddîn Hulvî (ö. 1064/1654), Karabaş-ı Velî (ö. 1097/1686), Abdülmecid Sivâsî (ö. 1049/1639), Seyyid Nizamoğlu (ö. 1010/1601), Sunullah Gaybî (ö. 1087/1676’dan sonra), Ümmî Sinan (ö. 1067/1657), Abdullah Bosnevî (ö. 1054/1644), Abdülahad Nûrî (ö. 1061/1651). </w:t>
      </w:r>
      <w:proofErr w:type="gramEnd"/>
      <w:r w:rsidRPr="00EF32EB">
        <w:rPr>
          <w:rFonts w:ascii="Candara" w:hAnsi="Candara"/>
        </w:rPr>
        <w:t xml:space="preserve">Bu yüzyıl için Ahmed Hamdi Tanpınar, </w:t>
      </w:r>
      <w:r w:rsidRPr="00EF32EB">
        <w:rPr>
          <w:rFonts w:ascii="Candara" w:hAnsi="Candara"/>
          <w:i/>
        </w:rPr>
        <w:t>Beş Şehir</w:t>
      </w:r>
      <w:r w:rsidRPr="00EF32EB">
        <w:rPr>
          <w:rFonts w:ascii="Candara" w:hAnsi="Candara"/>
        </w:rPr>
        <w:t xml:space="preserve"> adlı eserinde, “Zevkimizin tam teessüs ettiği yüzyıldır.” demektedir. </w:t>
      </w:r>
    </w:p>
    <w:p w:rsidR="00B212FB" w:rsidRPr="00EF32EB" w:rsidRDefault="00B212FB" w:rsidP="00B212FB">
      <w:pPr>
        <w:ind w:firstLine="425"/>
        <w:jc w:val="both"/>
        <w:rPr>
          <w:rFonts w:ascii="Candara" w:hAnsi="Candara" w:cs="Times New Roman"/>
        </w:rPr>
      </w:pPr>
      <w:r w:rsidRPr="00EF32EB">
        <w:rPr>
          <w:rFonts w:ascii="Candara" w:hAnsi="Candara" w:cs="Times New Roman"/>
          <w:b/>
        </w:rPr>
        <w:t xml:space="preserve">H. XII./ M. XVIII. asır </w:t>
      </w:r>
      <w:r w:rsidRPr="00EF32EB">
        <w:rPr>
          <w:rFonts w:ascii="Candara" w:hAnsi="Candara" w:cs="Times New Roman"/>
        </w:rPr>
        <w:t>Osmanlı devletinin siyasî, sosyal, iktisadî, ilmî ve askerî alanda hızla gerilediği bir dönemdir. Yaklaşık 57 sadrazam değişikliğinin gerçekleştiği bir asırda siyasî istikrardan bahsetmek mümkün değildir. Doğal olarak bu durum diğer alanlara da yansımıştır.</w:t>
      </w:r>
    </w:p>
    <w:p w:rsidR="00B212FB" w:rsidRPr="00EF32EB" w:rsidRDefault="00B212FB" w:rsidP="00B212FB">
      <w:pPr>
        <w:ind w:firstLine="425"/>
        <w:jc w:val="both"/>
        <w:rPr>
          <w:rFonts w:ascii="Candara" w:hAnsi="Candara" w:cs="Times New Roman"/>
        </w:rPr>
      </w:pPr>
      <w:r w:rsidRPr="00EF32EB">
        <w:rPr>
          <w:rFonts w:ascii="Candara" w:hAnsi="Candara" w:cs="Times New Roman"/>
        </w:rPr>
        <w:t>1. Bu dönemde tarîkat çevreleri ile ulema kesimi arasında müsbet münasebet göze çarpar. Hatta önemli miktarda müderrisin ve devlet yöneticisinin bir şeyhten el aldığı görülür.</w:t>
      </w:r>
    </w:p>
    <w:p w:rsidR="00B212FB" w:rsidRPr="00EF32EB" w:rsidRDefault="00B212FB" w:rsidP="00B212FB">
      <w:pPr>
        <w:ind w:firstLine="425"/>
        <w:jc w:val="both"/>
        <w:rPr>
          <w:rFonts w:ascii="Candara" w:hAnsi="Candara" w:cs="Times New Roman"/>
        </w:rPr>
      </w:pPr>
      <w:proofErr w:type="gramStart"/>
      <w:r w:rsidRPr="00EF32EB">
        <w:rPr>
          <w:rFonts w:ascii="Candara" w:hAnsi="Candara" w:cs="Times New Roman"/>
        </w:rPr>
        <w:t xml:space="preserve">2. Gerileyen tekke ve medrese eğitimine rağmen bu dönemde </w:t>
      </w:r>
      <w:r w:rsidRPr="00EF32EB">
        <w:rPr>
          <w:rFonts w:ascii="Candara" w:hAnsi="Candara"/>
        </w:rPr>
        <w:t>İsmâil Hakkı Bursevî (ö. 1137/1725), Abdullah Salâhî-i Uşşâkî (ö. 1197/1783), Erzurumlu İbrahim Hakkı (ö. 1194/1780), Mehmed Nazmî Efendi (ö. 1112/1701), Şeyh Galib (ö. 1213/1799), Mehmed Emîn Tokâdî (ö. 1745), Giritli Aziz Efendi (ö. 1213/1798), Lalizâde Abdülbaki (ö. 1159/1746) gibi pek çok isim yetişmiştir.</w:t>
      </w:r>
      <w:proofErr w:type="gramEnd"/>
    </w:p>
    <w:p w:rsidR="00B212FB" w:rsidRPr="00EF32EB" w:rsidRDefault="00B212FB" w:rsidP="00B212FB">
      <w:pPr>
        <w:ind w:firstLine="425"/>
        <w:jc w:val="both"/>
        <w:rPr>
          <w:rFonts w:ascii="Candara" w:hAnsi="Candara" w:cs="Times New Roman"/>
        </w:rPr>
      </w:pPr>
      <w:r w:rsidRPr="00EF32EB">
        <w:rPr>
          <w:rFonts w:ascii="Candara" w:hAnsi="Candara" w:cs="Times New Roman"/>
        </w:rPr>
        <w:t>3. Bu dönemde Osmanlı devleti bir gerileme sürecine girmekle birlikte tekkelerin bir cazibe merkezi olmaya devam ettiği ve topluma müsbet katkılarda bulundukları ifade edilebilir.</w:t>
      </w:r>
    </w:p>
    <w:p w:rsidR="00B212FB" w:rsidRPr="00EF32EB" w:rsidRDefault="00B212FB" w:rsidP="00B212FB">
      <w:pPr>
        <w:ind w:firstLine="425"/>
        <w:jc w:val="both"/>
        <w:rPr>
          <w:rFonts w:ascii="Candara" w:hAnsi="Candara" w:cs="Times New Roman"/>
        </w:rPr>
      </w:pPr>
      <w:r w:rsidRPr="00EF32EB">
        <w:rPr>
          <w:rFonts w:ascii="Candara" w:hAnsi="Candara" w:cs="Times New Roman"/>
          <w:b/>
        </w:rPr>
        <w:t xml:space="preserve">H. XIII./ M. XIX. asırda </w:t>
      </w:r>
      <w:r w:rsidRPr="00EF32EB">
        <w:rPr>
          <w:rFonts w:ascii="Candara" w:hAnsi="Candara" w:cs="Times New Roman"/>
        </w:rPr>
        <w:t>yeniçeri ocağının kapatılması ile Bektâşi tekkelerinin bir süreliğine de olsa kapatılması dönemin en önemli gelişmelerindendir. Bu dönemde Bektâşîlik nisbeten tepki çeken bir akım olarak karşımıza çıkar. 1826’da kapanan Bektâşî tekellerinin faaliyetlerine, II. Mahmud’un 1839’da vefatıyla gayr-ı resmi olarak tekrar müsaade edilmiştir.</w:t>
      </w:r>
    </w:p>
    <w:p w:rsidR="00B212FB" w:rsidRPr="00EF32EB" w:rsidRDefault="00B212FB" w:rsidP="00B212FB">
      <w:pPr>
        <w:ind w:firstLine="425"/>
        <w:jc w:val="both"/>
        <w:rPr>
          <w:rFonts w:ascii="Candara" w:hAnsi="Candara" w:cs="Times New Roman"/>
        </w:rPr>
      </w:pPr>
      <w:r w:rsidRPr="00EF32EB">
        <w:rPr>
          <w:rFonts w:ascii="Candara" w:hAnsi="Candara" w:cs="Times New Roman"/>
        </w:rPr>
        <w:t>1. Bu yüzyılın sonunda II. Abdülhamid devrinde bütün müesseseler gibi tekke ve dergâhların düzenlenmesi için birtakım ıslahat hareketleri başlatılmış ve Şeyhülislam’a bağlı olarak faaliyet gösteren “meclis-i meşayıh” kurulmuştur. Bu meclisin nizamnamesi ile tekke ve tekke şeyhliklerinin düzeltilmesine çalışılmıştır. Taşrada aynı faaliyeti yürütmek için “encümen-i meşayıh” tesis edilmiştir.</w:t>
      </w:r>
    </w:p>
    <w:p w:rsidR="00B212FB" w:rsidRPr="00EF32EB" w:rsidRDefault="00B212FB" w:rsidP="00B212FB">
      <w:pPr>
        <w:ind w:firstLine="425"/>
        <w:jc w:val="both"/>
        <w:rPr>
          <w:rFonts w:ascii="Candara" w:hAnsi="Candara" w:cs="Times New Roman"/>
        </w:rPr>
      </w:pPr>
      <w:r w:rsidRPr="00EF32EB">
        <w:rPr>
          <w:rFonts w:ascii="Candara" w:hAnsi="Candara" w:cs="Times New Roman"/>
        </w:rPr>
        <w:t>2. Bu dönemde birçok şeyhin aynı zamanda müderris, kadı, müftü gibi görevler de aldıkları bilinmektedir ki bu da onların ilmi düzeyleri hakkında bizlere fikir verir mahiyettedir.</w:t>
      </w:r>
    </w:p>
    <w:p w:rsidR="00B212FB" w:rsidRPr="00EF32EB" w:rsidRDefault="00B212FB" w:rsidP="00B212FB">
      <w:pPr>
        <w:ind w:firstLine="425"/>
        <w:jc w:val="both"/>
        <w:rPr>
          <w:rFonts w:ascii="Candara" w:hAnsi="Candara" w:cs="Times New Roman"/>
        </w:rPr>
      </w:pPr>
      <w:r w:rsidRPr="00EF32EB">
        <w:rPr>
          <w:rFonts w:ascii="Candara" w:hAnsi="Candara" w:cs="Times New Roman"/>
        </w:rPr>
        <w:lastRenderedPageBreak/>
        <w:t xml:space="preserve">3. Dönemin meşhur sûfîleri içerisinde </w:t>
      </w:r>
      <w:r w:rsidRPr="00EF32EB">
        <w:rPr>
          <w:rFonts w:ascii="Candara" w:hAnsi="Candara" w:cs="Times New Roman"/>
          <w:iCs/>
        </w:rPr>
        <w:t xml:space="preserve">Köstendilli Süleyman Şeyhî </w:t>
      </w:r>
      <w:r w:rsidRPr="00EF32EB">
        <w:rPr>
          <w:rFonts w:ascii="Candara" w:hAnsi="Candara" w:cs="Times New Roman"/>
          <w:iCs/>
          <w:shd w:val="clear" w:color="auto" w:fill="FDFDFD"/>
        </w:rPr>
        <w:t xml:space="preserve">(ö. 1235/1819-20), </w:t>
      </w:r>
      <w:r w:rsidRPr="00EF32EB">
        <w:rPr>
          <w:rFonts w:ascii="Candara" w:hAnsi="Candara" w:cs="Times New Roman"/>
        </w:rPr>
        <w:t xml:space="preserve">Harirîzâde (ö. 1882), Kuşadalı İbrahim Halvetî (ö. 1262/1846), Hamza Nigârî </w:t>
      </w:r>
      <w:r w:rsidRPr="00EF32EB">
        <w:rPr>
          <w:rFonts w:ascii="Candara" w:hAnsi="Candara" w:cs="Times New Roman"/>
          <w:shd w:val="clear" w:color="auto" w:fill="FDFDFD"/>
        </w:rPr>
        <w:t xml:space="preserve">(ö. 1886), </w:t>
      </w:r>
      <w:r w:rsidRPr="00EF32EB">
        <w:rPr>
          <w:rFonts w:ascii="Candara" w:hAnsi="Candara" w:cs="Times New Roman"/>
        </w:rPr>
        <w:t>Muhammed Nûru’l-Arabî (ö. 1888), Ahmed Ziyaüddin Gümüşhanevî (ö. 1893) gibi isimler dikkati çeker.</w:t>
      </w:r>
    </w:p>
    <w:p w:rsidR="00B212FB" w:rsidRPr="00EF32EB" w:rsidRDefault="00B212FB" w:rsidP="00B212FB">
      <w:pPr>
        <w:ind w:firstLine="425"/>
        <w:jc w:val="both"/>
        <w:rPr>
          <w:rFonts w:ascii="Candara" w:hAnsi="Candara" w:cs="Times New Roman"/>
        </w:rPr>
      </w:pPr>
      <w:r w:rsidRPr="00EF32EB">
        <w:rPr>
          <w:rFonts w:ascii="Candara" w:hAnsi="Candara" w:cs="Times New Roman"/>
        </w:rPr>
        <w:t>4. Bu asırda dikkat çeken bir husus da İbn Arabî ve Mevlânâ ilgisidir. Bazı camilerde Mesnevî okutmak için Mesnevîhanlık kadrosu ihdas edilmiş, Mevleviler’in dışında tarîkat ehli arasından dahi mesnevîhanlar çıkabilmiştir.</w:t>
      </w:r>
    </w:p>
    <w:p w:rsidR="00B212FB" w:rsidRPr="00EF32EB" w:rsidRDefault="00B212FB" w:rsidP="00B212FB">
      <w:pPr>
        <w:ind w:firstLine="425"/>
        <w:jc w:val="both"/>
        <w:rPr>
          <w:rFonts w:ascii="Candara" w:hAnsi="Candara" w:cs="Times New Roman"/>
        </w:rPr>
      </w:pPr>
      <w:r w:rsidRPr="00EF32EB">
        <w:rPr>
          <w:rFonts w:ascii="Candara" w:hAnsi="Candara" w:cs="Times New Roman"/>
        </w:rPr>
        <w:t>5. Bu dönemde bazı tekkeler ehil şeyh bulunamadığı için kapatılmış ve tekkeler toplumda belli bir nüfuz kaybına uğramıştır. Bütün bunlara rağmen XIX. yüzyılın sonlarında İstanbul’da 300’den fazla tekkenin bulunması, 500 bine yaklaşan nüfusa göre son derece büyük bir ilginin göstergesi olarak da anlaşılabilir.</w:t>
      </w:r>
    </w:p>
    <w:p w:rsidR="00B212FB" w:rsidRPr="00EF32EB" w:rsidRDefault="00B212FB" w:rsidP="00B212FB">
      <w:pPr>
        <w:ind w:firstLine="425"/>
        <w:jc w:val="both"/>
        <w:rPr>
          <w:rFonts w:ascii="Candara" w:hAnsi="Candara" w:cs="Times New Roman"/>
        </w:rPr>
      </w:pPr>
      <w:r w:rsidRPr="00EF32EB">
        <w:rPr>
          <w:rFonts w:ascii="Candara" w:hAnsi="Candara" w:cs="Times New Roman"/>
        </w:rPr>
        <w:t xml:space="preserve">6. Bu yüzyılın önemli bir gelişmesi de gazete ve dergi neşriyatının yaygınlaşması ile birlikte tekke çevrelerinde de bu alanda faaliyetler yürütülmüş olmasıdır. Bu çerçevede, </w:t>
      </w:r>
      <w:r w:rsidRPr="00EF32EB">
        <w:rPr>
          <w:rFonts w:ascii="Candara" w:hAnsi="Candara" w:cs="Times New Roman"/>
          <w:i/>
        </w:rPr>
        <w:t>Ceride-i Sûfiyye</w:t>
      </w:r>
      <w:r w:rsidRPr="00EF32EB">
        <w:rPr>
          <w:rFonts w:ascii="Candara" w:hAnsi="Candara" w:cs="Times New Roman"/>
        </w:rPr>
        <w:t xml:space="preserve">, </w:t>
      </w:r>
      <w:r w:rsidRPr="00EF32EB">
        <w:rPr>
          <w:rFonts w:ascii="Candara" w:hAnsi="Candara" w:cs="Times New Roman"/>
          <w:i/>
        </w:rPr>
        <w:t>Beyanü’l-Hak</w:t>
      </w:r>
      <w:r w:rsidRPr="00EF32EB">
        <w:rPr>
          <w:rFonts w:ascii="Candara" w:hAnsi="Candara" w:cs="Times New Roman"/>
        </w:rPr>
        <w:t xml:space="preserve">, </w:t>
      </w:r>
      <w:r w:rsidRPr="00EF32EB">
        <w:rPr>
          <w:rFonts w:ascii="Candara" w:hAnsi="Candara" w:cs="Times New Roman"/>
          <w:i/>
        </w:rPr>
        <w:t>Muhibbân</w:t>
      </w:r>
      <w:r w:rsidRPr="00EF32EB">
        <w:rPr>
          <w:rFonts w:ascii="Candara" w:hAnsi="Candara" w:cs="Times New Roman"/>
        </w:rPr>
        <w:t xml:space="preserve"> ve </w:t>
      </w:r>
      <w:r w:rsidRPr="00EF32EB">
        <w:rPr>
          <w:rFonts w:ascii="Candara" w:hAnsi="Candara" w:cs="Times New Roman"/>
          <w:i/>
        </w:rPr>
        <w:t xml:space="preserve">Tasavvuf </w:t>
      </w:r>
      <w:r w:rsidRPr="00EF32EB">
        <w:rPr>
          <w:rFonts w:ascii="Candara" w:hAnsi="Candara" w:cs="Times New Roman"/>
        </w:rPr>
        <w:t>dergileri çıkarılmıştır.</w:t>
      </w:r>
    </w:p>
    <w:p w:rsidR="00B212FB" w:rsidRPr="00EF32EB" w:rsidRDefault="00B212FB" w:rsidP="00B212FB">
      <w:pPr>
        <w:ind w:firstLine="425"/>
        <w:jc w:val="both"/>
        <w:rPr>
          <w:rFonts w:ascii="Candara" w:hAnsi="Candara" w:cs="Times New Roman"/>
          <w:b/>
        </w:rPr>
      </w:pPr>
      <w:r w:rsidRPr="00EF32EB">
        <w:rPr>
          <w:rFonts w:ascii="Candara" w:hAnsi="Candara" w:cs="Times New Roman"/>
          <w:b/>
        </w:rPr>
        <w:t xml:space="preserve">H. XIV./ M. XX. asır: </w:t>
      </w:r>
      <w:r w:rsidRPr="00EF32EB">
        <w:rPr>
          <w:rFonts w:ascii="Candara" w:hAnsi="Candara" w:cs="Times New Roman"/>
        </w:rPr>
        <w:t>Bu yüzyılın başları Osmanlı Devleti’nin zor günleridir. Yenileşme (</w:t>
      </w:r>
      <w:r w:rsidRPr="00EF32EB">
        <w:rPr>
          <w:rFonts w:ascii="Candara" w:hAnsi="Candara" w:cs="Times New Roman"/>
          <w:i/>
        </w:rPr>
        <w:t>tecdid</w:t>
      </w:r>
      <w:r w:rsidRPr="00EF32EB">
        <w:rPr>
          <w:rFonts w:ascii="Candara" w:hAnsi="Candara" w:cs="Times New Roman"/>
        </w:rPr>
        <w:t>) reçeteleri Tanzimatla birlikte yeni bir ivme kazanmış, ancak bir çözüm üretilememiş, buna I. Dünya Savaşı da eklenince devletin dinî, toplumsal ve siyasî kurumlarını yeniden gözden geçirme durumu ortaya çıkmıştır. Bu müesseselerden biri de tabii ki tekkeler ve tarîkatlardır. Bu münasebetle ilim çevrelerinde, çöküşün nedenleri içerisinde tekkeleri görenler olduğu gibi tekkelerin yanında başka sebeplerin de bulunduğunu ifade edenler bulunuyordu.</w:t>
      </w:r>
      <w:r w:rsidRPr="00EF32EB">
        <w:rPr>
          <w:rStyle w:val="DipnotBavurusu"/>
          <w:rFonts w:ascii="Candara" w:hAnsi="Candara"/>
        </w:rPr>
        <w:footnoteReference w:id="2"/>
      </w:r>
      <w:r w:rsidRPr="00EF32EB">
        <w:rPr>
          <w:rFonts w:ascii="Candara" w:hAnsi="Candara" w:cs="Times New Roman"/>
        </w:rPr>
        <w:t xml:space="preserve"> Hatta öyle ki bizzat tarîkat mensupları da tekkelerin kendi içinde bazı problemler bulunduğunu, bunların çözülmesi gerektiğini ifade edenler vardı. “Beşik şeyhliği” en başta gelen problemdi. Sözü edilen çöküşün nedenleri şu şekilde sıralanabilir:</w:t>
      </w:r>
    </w:p>
    <w:p w:rsidR="00B212FB" w:rsidRPr="00EF32EB" w:rsidRDefault="00B212FB" w:rsidP="00B212FB">
      <w:pPr>
        <w:pStyle w:val="ListeParagraf"/>
        <w:numPr>
          <w:ilvl w:val="1"/>
          <w:numId w:val="3"/>
        </w:numPr>
        <w:spacing w:before="80"/>
        <w:ind w:left="709" w:hanging="284"/>
        <w:jc w:val="both"/>
        <w:rPr>
          <w:rFonts w:ascii="Candara" w:hAnsi="Candara" w:cs="Times New Roman"/>
        </w:rPr>
      </w:pPr>
      <w:r w:rsidRPr="00EF32EB">
        <w:rPr>
          <w:rFonts w:ascii="Candara" w:hAnsi="Candara" w:cs="Times New Roman"/>
        </w:rPr>
        <w:t>Liyakatin zaafa uğraması</w:t>
      </w:r>
    </w:p>
    <w:p w:rsidR="00B212FB" w:rsidRPr="00EF32EB" w:rsidRDefault="00B212FB" w:rsidP="00B212FB">
      <w:pPr>
        <w:pStyle w:val="ListeParagraf"/>
        <w:numPr>
          <w:ilvl w:val="1"/>
          <w:numId w:val="3"/>
        </w:numPr>
        <w:spacing w:before="80"/>
        <w:ind w:left="709" w:hanging="284"/>
        <w:jc w:val="both"/>
        <w:rPr>
          <w:rFonts w:ascii="Candara" w:hAnsi="Candara" w:cs="Times New Roman"/>
        </w:rPr>
      </w:pPr>
      <w:r w:rsidRPr="00EF32EB">
        <w:rPr>
          <w:rFonts w:ascii="Candara" w:hAnsi="Candara" w:cs="Times New Roman"/>
        </w:rPr>
        <w:t xml:space="preserve">Şeyhliğin tevarüs yoluyla el değiştirmesi </w:t>
      </w:r>
    </w:p>
    <w:p w:rsidR="00B212FB" w:rsidRPr="00EF32EB" w:rsidRDefault="00B212FB" w:rsidP="00B212FB">
      <w:pPr>
        <w:pStyle w:val="ListeParagraf"/>
        <w:numPr>
          <w:ilvl w:val="1"/>
          <w:numId w:val="3"/>
        </w:numPr>
        <w:spacing w:before="80"/>
        <w:ind w:left="709" w:hanging="284"/>
        <w:jc w:val="both"/>
        <w:rPr>
          <w:rFonts w:ascii="Candara" w:hAnsi="Candara" w:cs="Times New Roman"/>
        </w:rPr>
      </w:pPr>
      <w:r w:rsidRPr="00EF32EB">
        <w:rPr>
          <w:rFonts w:ascii="Candara" w:hAnsi="Candara" w:cs="Times New Roman"/>
        </w:rPr>
        <w:t>Tarîkat içi ve tarîkatler arası çekişmeler</w:t>
      </w:r>
    </w:p>
    <w:p w:rsidR="00B212FB" w:rsidRPr="00EF32EB" w:rsidRDefault="00B212FB" w:rsidP="00B212FB">
      <w:pPr>
        <w:pStyle w:val="ListeParagraf"/>
        <w:numPr>
          <w:ilvl w:val="1"/>
          <w:numId w:val="3"/>
        </w:numPr>
        <w:spacing w:before="80"/>
        <w:ind w:left="709" w:hanging="284"/>
        <w:jc w:val="both"/>
        <w:rPr>
          <w:rFonts w:ascii="Candara" w:hAnsi="Candara" w:cs="Times New Roman"/>
        </w:rPr>
      </w:pPr>
      <w:r w:rsidRPr="00EF32EB">
        <w:rPr>
          <w:rFonts w:ascii="Candara" w:hAnsi="Candara" w:cs="Times New Roman"/>
        </w:rPr>
        <w:t>Medrese çevreleri ile yaşanan gerilimler</w:t>
      </w:r>
    </w:p>
    <w:p w:rsidR="00B212FB" w:rsidRPr="00EF32EB" w:rsidRDefault="00B212FB" w:rsidP="00B212FB">
      <w:pPr>
        <w:pStyle w:val="ListeParagraf"/>
        <w:numPr>
          <w:ilvl w:val="1"/>
          <w:numId w:val="3"/>
        </w:numPr>
        <w:spacing w:before="80"/>
        <w:ind w:left="709" w:hanging="284"/>
        <w:jc w:val="both"/>
        <w:rPr>
          <w:rFonts w:ascii="Candara" w:hAnsi="Candara" w:cs="Times New Roman"/>
        </w:rPr>
      </w:pPr>
      <w:r w:rsidRPr="00EF32EB">
        <w:rPr>
          <w:rFonts w:ascii="Candara" w:hAnsi="Candara" w:cs="Times New Roman"/>
        </w:rPr>
        <w:t xml:space="preserve">Devlet ricali ile kurulan düzeysiz ilişkiler </w:t>
      </w:r>
    </w:p>
    <w:p w:rsidR="00B212FB" w:rsidRPr="00EF32EB" w:rsidRDefault="00B212FB" w:rsidP="00B212FB">
      <w:pPr>
        <w:pStyle w:val="ListeParagraf"/>
        <w:numPr>
          <w:ilvl w:val="1"/>
          <w:numId w:val="3"/>
        </w:numPr>
        <w:spacing w:before="80"/>
        <w:ind w:left="709" w:hanging="284"/>
        <w:jc w:val="both"/>
        <w:rPr>
          <w:rFonts w:ascii="Candara" w:hAnsi="Candara" w:cs="Times New Roman"/>
        </w:rPr>
      </w:pPr>
      <w:r w:rsidRPr="00EF32EB">
        <w:rPr>
          <w:rFonts w:ascii="Candara" w:hAnsi="Candara" w:cs="Times New Roman"/>
        </w:rPr>
        <w:t>Vakıf gelirlerinde maddî çıkarların gözetilmesi</w:t>
      </w:r>
    </w:p>
    <w:p w:rsidR="00B212FB" w:rsidRPr="00EF32EB" w:rsidRDefault="00B212FB" w:rsidP="00B212FB">
      <w:pPr>
        <w:pStyle w:val="ListeParagraf"/>
        <w:numPr>
          <w:ilvl w:val="1"/>
          <w:numId w:val="3"/>
        </w:numPr>
        <w:spacing w:before="80"/>
        <w:ind w:left="709" w:hanging="284"/>
        <w:jc w:val="both"/>
        <w:rPr>
          <w:rFonts w:ascii="Candara" w:hAnsi="Candara" w:cs="Times New Roman"/>
        </w:rPr>
      </w:pPr>
      <w:r w:rsidRPr="00EF32EB">
        <w:rPr>
          <w:rFonts w:ascii="Candara" w:hAnsi="Candara" w:cs="Times New Roman"/>
        </w:rPr>
        <w:t>Tarîkat taassubu</w:t>
      </w:r>
    </w:p>
    <w:p w:rsidR="00B212FB" w:rsidRPr="00EF32EB" w:rsidRDefault="00B212FB" w:rsidP="00B212FB">
      <w:pPr>
        <w:ind w:firstLine="425"/>
        <w:jc w:val="both"/>
        <w:rPr>
          <w:rFonts w:ascii="Candara" w:hAnsi="Candara"/>
        </w:rPr>
      </w:pPr>
      <w:r w:rsidRPr="00EF32EB">
        <w:rPr>
          <w:rFonts w:ascii="Candara" w:hAnsi="Candara"/>
        </w:rPr>
        <w:t xml:space="preserve">Dönemin problemli yapısına rağmen XX. asırda da çok önemli tasavvufî şahsiyetler yetişmiştir. </w:t>
      </w:r>
      <w:proofErr w:type="gramStart"/>
      <w:r w:rsidRPr="00EF32EB">
        <w:rPr>
          <w:rFonts w:ascii="Candara" w:hAnsi="Candara"/>
        </w:rPr>
        <w:t>Osmanlı’dan Cumhuriyet’e intikâl edilen bu dönemin dikkat çekici bazı isimleri şunlardır: Hüseyin Vassaf (1872-1929), Ahmed Avni Konuk (ö. 1938), İbnülemin Mahmud Kemal İnal (1871-1957), Aşçı İbrâhim Dede (ö. 1906’dan sonra), Ferit Kam (1864-1944), Filibeli Ahmed Hilmi (1865-1914), Tâhirü’l-Mevlevî (1877-1951), İsmâil Fenni Ertuğrul (1855-1946), Esad Erbil</w:t>
      </w:r>
      <w:r w:rsidRPr="00EF32EB">
        <w:rPr>
          <w:rFonts w:ascii="Candara" w:hAnsi="Candara" w:cs="Times New Roman"/>
        </w:rPr>
        <w:t>î</w:t>
      </w:r>
      <w:r w:rsidRPr="00EF32EB">
        <w:rPr>
          <w:rFonts w:ascii="Candara" w:hAnsi="Candara"/>
        </w:rPr>
        <w:t xml:space="preserve"> (1847-1931). </w:t>
      </w:r>
      <w:proofErr w:type="gramEnd"/>
    </w:p>
    <w:p w:rsidR="006153FD" w:rsidRDefault="006153FD">
      <w:bookmarkStart w:id="4" w:name="_GoBack"/>
      <w:bookmarkEnd w:id="4"/>
    </w:p>
    <w:sectPr w:rsidR="006153F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C3C53" w:rsidRDefault="008C3C53" w:rsidP="00B212FB">
      <w:pPr>
        <w:spacing w:after="0" w:line="240" w:lineRule="auto"/>
      </w:pPr>
      <w:r>
        <w:separator/>
      </w:r>
    </w:p>
  </w:endnote>
  <w:endnote w:type="continuationSeparator" w:id="0">
    <w:p w:rsidR="008C3C53" w:rsidRDefault="008C3C53" w:rsidP="00B212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Candara">
    <w:panose1 w:val="020E0502030303020204"/>
    <w:charset w:val="A2"/>
    <w:family w:val="swiss"/>
    <w:pitch w:val="variable"/>
    <w:sig w:usb0="A00002EF" w:usb1="4000A44B" w:usb2="00000000" w:usb3="00000000" w:csb0="0000019F" w:csb1="00000000"/>
  </w:font>
  <w:font w:name="BemboBookMTPro-Regular">
    <w:altName w:val="MS Gothic"/>
    <w:panose1 w:val="00000000000000000000"/>
    <w:charset w:val="80"/>
    <w:family w:val="roman"/>
    <w:notTrueType/>
    <w:pitch w:val="default"/>
    <w:sig w:usb0="00000000" w:usb1="08070000" w:usb2="00000010" w:usb3="00000000" w:csb0="00020000"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C3C53" w:rsidRDefault="008C3C53" w:rsidP="00B212FB">
      <w:pPr>
        <w:spacing w:after="0" w:line="240" w:lineRule="auto"/>
      </w:pPr>
      <w:r>
        <w:separator/>
      </w:r>
    </w:p>
  </w:footnote>
  <w:footnote w:type="continuationSeparator" w:id="0">
    <w:p w:rsidR="008C3C53" w:rsidRDefault="008C3C53" w:rsidP="00B212FB">
      <w:pPr>
        <w:spacing w:after="0" w:line="240" w:lineRule="auto"/>
      </w:pPr>
      <w:r>
        <w:continuationSeparator/>
      </w:r>
    </w:p>
  </w:footnote>
  <w:footnote w:id="1">
    <w:p w:rsidR="00B212FB" w:rsidRPr="007B37E2" w:rsidRDefault="00B212FB" w:rsidP="00B212FB">
      <w:pPr>
        <w:pStyle w:val="DipnotMetni"/>
        <w:spacing w:line="240" w:lineRule="atLeast"/>
        <w:ind w:left="170" w:hanging="170"/>
        <w:jc w:val="both"/>
        <w:rPr>
          <w:rFonts w:ascii="Candara" w:hAnsi="Candara" w:cs="Times New Roman"/>
          <w:sz w:val="18"/>
          <w:szCs w:val="18"/>
        </w:rPr>
      </w:pPr>
      <w:r w:rsidRPr="007B37E2">
        <w:rPr>
          <w:rStyle w:val="DipnotBavurusu"/>
          <w:rFonts w:ascii="Candara" w:hAnsi="Candara"/>
          <w:sz w:val="18"/>
          <w:szCs w:val="18"/>
        </w:rPr>
        <w:footnoteRef/>
      </w:r>
      <w:r>
        <w:rPr>
          <w:rFonts w:ascii="Candara" w:hAnsi="Candara" w:cs="Times New Roman"/>
          <w:sz w:val="18"/>
          <w:szCs w:val="18"/>
        </w:rPr>
        <w:t xml:space="preserve"> </w:t>
      </w:r>
      <w:r w:rsidRPr="007B37E2">
        <w:rPr>
          <w:rFonts w:ascii="Candara" w:hAnsi="Candara" w:cs="Times New Roman"/>
          <w:sz w:val="18"/>
          <w:szCs w:val="18"/>
        </w:rPr>
        <w:t xml:space="preserve">Tartışmanın detayları için bkz. </w:t>
      </w:r>
      <w:bookmarkStart w:id="3" w:name="_Hlk17755133"/>
      <w:r w:rsidRPr="007B37E2">
        <w:rPr>
          <w:rFonts w:ascii="Candara" w:hAnsi="Candara" w:cs="Times New Roman"/>
          <w:sz w:val="18"/>
          <w:szCs w:val="18"/>
        </w:rPr>
        <w:t xml:space="preserve">Cengiz Gündoğdu, “XVII. Yüzyıl Osmanlısında Siyasi Otoritenin Ulemâ-Sûfî Yaklaşımınıa Bir Örnek: IV. Murat-Kadızâde-Sivâsî”, </w:t>
      </w:r>
      <w:r w:rsidRPr="007B37E2">
        <w:rPr>
          <w:rFonts w:ascii="Candara" w:hAnsi="Candara" w:cs="Times New Roman"/>
          <w:i/>
          <w:sz w:val="18"/>
          <w:szCs w:val="18"/>
        </w:rPr>
        <w:t>Dînî Araştırmalar</w:t>
      </w:r>
      <w:r w:rsidRPr="007B37E2">
        <w:rPr>
          <w:rFonts w:ascii="Candara" w:hAnsi="Candara" w:cs="Times New Roman"/>
          <w:sz w:val="18"/>
          <w:szCs w:val="18"/>
        </w:rPr>
        <w:t xml:space="preserve">, C. 2, sy. 5, 1999, ss. 203-224. Reşat Öngören, “Kadızadeliler Sivasîler Tartışması”, </w:t>
      </w:r>
      <w:r w:rsidRPr="007B37E2">
        <w:rPr>
          <w:rFonts w:ascii="Candara" w:hAnsi="Candara" w:cs="Times New Roman"/>
          <w:i/>
          <w:sz w:val="18"/>
          <w:szCs w:val="18"/>
        </w:rPr>
        <w:t>Antik Çağ’dan XXI. Yüzyıla Büyük İstanbul Tarihi: Din</w:t>
      </w:r>
      <w:r w:rsidRPr="007B37E2">
        <w:rPr>
          <w:rFonts w:ascii="Candara" w:hAnsi="Candara" w:cs="Times New Roman"/>
          <w:sz w:val="18"/>
          <w:szCs w:val="18"/>
        </w:rPr>
        <w:t>, 2015, C. 5, ss. 245-247.</w:t>
      </w:r>
      <w:bookmarkEnd w:id="3"/>
    </w:p>
  </w:footnote>
  <w:footnote w:id="2">
    <w:p w:rsidR="00B212FB" w:rsidRPr="007B37E2" w:rsidRDefault="00B212FB" w:rsidP="00B212FB">
      <w:pPr>
        <w:autoSpaceDE w:val="0"/>
        <w:autoSpaceDN w:val="0"/>
        <w:adjustRightInd w:val="0"/>
        <w:spacing w:after="0" w:line="240" w:lineRule="atLeast"/>
        <w:ind w:left="170" w:hanging="170"/>
        <w:jc w:val="both"/>
        <w:rPr>
          <w:rFonts w:ascii="Candara" w:eastAsia="BemboBookMTPro-Regular" w:hAnsi="Candara" w:cs="Times New Roman"/>
          <w:sz w:val="18"/>
          <w:szCs w:val="18"/>
        </w:rPr>
      </w:pPr>
      <w:r w:rsidRPr="007B37E2">
        <w:rPr>
          <w:rStyle w:val="DipnotBavurusu"/>
          <w:rFonts w:ascii="Candara" w:hAnsi="Candara"/>
          <w:sz w:val="18"/>
          <w:szCs w:val="18"/>
        </w:rPr>
        <w:footnoteRef/>
      </w:r>
      <w:r w:rsidRPr="007B37E2">
        <w:rPr>
          <w:rFonts w:ascii="Candara" w:hAnsi="Candara" w:cs="Times New Roman"/>
          <w:sz w:val="18"/>
          <w:szCs w:val="18"/>
        </w:rPr>
        <w:t xml:space="preserve"> </w:t>
      </w:r>
      <w:r w:rsidRPr="007B37E2">
        <w:rPr>
          <w:rFonts w:ascii="Candara" w:eastAsia="BemboBookMTPro-Regular" w:hAnsi="Candara" w:cs="Times New Roman"/>
          <w:sz w:val="18"/>
          <w:szCs w:val="18"/>
        </w:rPr>
        <w:t xml:space="preserve">Bkz. İsmail Kara,“Çağdaş Türk Düşüncesinde Bir Tenkit/Tasfiye Alanı Olarak Tasavvuf ve Tarikatler”, </w:t>
      </w:r>
      <w:r w:rsidRPr="007B37E2">
        <w:rPr>
          <w:rFonts w:ascii="Candara" w:eastAsia="BemboBookMTPro-Regular" w:hAnsi="Candara" w:cs="Times New Roman"/>
          <w:i/>
          <w:iCs/>
          <w:sz w:val="18"/>
          <w:szCs w:val="18"/>
        </w:rPr>
        <w:t xml:space="preserve">Din ile Modernleşme Arasında, </w:t>
      </w:r>
      <w:r w:rsidRPr="007B37E2">
        <w:rPr>
          <w:rFonts w:ascii="Candara" w:eastAsia="BemboBookMTPro-Regular" w:hAnsi="Candara" w:cs="Times New Roman"/>
          <w:sz w:val="18"/>
          <w:szCs w:val="18"/>
        </w:rPr>
        <w:t>Dergâh Yay</w:t>
      </w:r>
      <w:proofErr w:type="gramStart"/>
      <w:r w:rsidRPr="007B37E2">
        <w:rPr>
          <w:rFonts w:ascii="Candara" w:eastAsia="BemboBookMTPro-Regular" w:hAnsi="Candara" w:cs="Times New Roman"/>
          <w:sz w:val="18"/>
          <w:szCs w:val="18"/>
        </w:rPr>
        <w:t>.,</w:t>
      </w:r>
      <w:proofErr w:type="gramEnd"/>
      <w:r w:rsidRPr="007B37E2">
        <w:rPr>
          <w:rFonts w:ascii="Candara" w:eastAsia="BemboBookMTPro-Regular" w:hAnsi="Candara" w:cs="Times New Roman"/>
          <w:sz w:val="18"/>
          <w:szCs w:val="18"/>
        </w:rPr>
        <w:t xml:space="preserve"> 2.Bs. İstanbul 2005, ss. 358-385.</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485B17"/>
    <w:multiLevelType w:val="hybridMultilevel"/>
    <w:tmpl w:val="2E946140"/>
    <w:lvl w:ilvl="0" w:tplc="041F000F">
      <w:start w:val="1"/>
      <w:numFmt w:val="decimal"/>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 w15:restartNumberingAfterBreak="0">
    <w:nsid w:val="22054FA5"/>
    <w:multiLevelType w:val="hybridMultilevel"/>
    <w:tmpl w:val="BE601868"/>
    <w:lvl w:ilvl="0" w:tplc="041F000F">
      <w:start w:val="1"/>
      <w:numFmt w:val="decimal"/>
      <w:lvlText w:val="%1."/>
      <w:lvlJc w:val="left"/>
      <w:pPr>
        <w:tabs>
          <w:tab w:val="num" w:pos="720"/>
        </w:tabs>
        <w:ind w:left="720" w:hanging="360"/>
      </w:pPr>
      <w:rPr>
        <w:rFonts w:hint="default"/>
      </w:rPr>
    </w:lvl>
    <w:lvl w:ilvl="1" w:tplc="041F000F">
      <w:start w:val="1"/>
      <w:numFmt w:val="decimal"/>
      <w:lvlText w:val="%2."/>
      <w:lvlJc w:val="left"/>
      <w:pPr>
        <w:ind w:left="1069" w:hanging="360"/>
      </w:pPr>
      <w:rPr>
        <w:rFonts w:hint="default"/>
      </w:rPr>
    </w:lvl>
    <w:lvl w:ilvl="2" w:tplc="CBDC414A">
      <w:start w:val="11"/>
      <w:numFmt w:val="upperRoman"/>
      <w:lvlText w:val="%3."/>
      <w:lvlJc w:val="left"/>
      <w:pPr>
        <w:ind w:left="2700" w:hanging="720"/>
      </w:pPr>
      <w:rPr>
        <w:rFonts w:hint="default"/>
      </w:r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 w15:restartNumberingAfterBreak="0">
    <w:nsid w:val="61596274"/>
    <w:multiLevelType w:val="hybridMultilevel"/>
    <w:tmpl w:val="B3CAF330"/>
    <w:lvl w:ilvl="0" w:tplc="041F0015">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661A"/>
    <w:rsid w:val="000D661A"/>
    <w:rsid w:val="006153FD"/>
    <w:rsid w:val="008C3C53"/>
    <w:rsid w:val="00AA00CE"/>
    <w:rsid w:val="00B212FB"/>
    <w:rsid w:val="00B5248F"/>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61B48A-D1B7-46A9-A6E1-AB18FF28FB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12FB"/>
    <w:pPr>
      <w:spacing w:after="200" w:line="276" w:lineRule="auto"/>
    </w:pPr>
  </w:style>
  <w:style w:type="paragraph" w:styleId="Balk2">
    <w:name w:val="heading 2"/>
    <w:basedOn w:val="Normal"/>
    <w:next w:val="Normal"/>
    <w:link w:val="Balk2Char"/>
    <w:uiPriority w:val="9"/>
    <w:unhideWhenUsed/>
    <w:qFormat/>
    <w:rsid w:val="00B212FB"/>
    <w:pPr>
      <w:keepNext/>
      <w:keepLines/>
      <w:spacing w:before="200" w:after="0"/>
      <w:outlineLvl w:val="1"/>
    </w:pPr>
    <w:rPr>
      <w:rFonts w:asciiTheme="majorHAnsi" w:eastAsiaTheme="majorEastAsia" w:hAnsiTheme="majorHAnsi" w:cstheme="majorBidi"/>
      <w:b/>
      <w:bCs/>
      <w:color w:val="4472C4" w:themeColor="accent1"/>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uiPriority w:val="9"/>
    <w:rsid w:val="00B212FB"/>
    <w:rPr>
      <w:rFonts w:asciiTheme="majorHAnsi" w:eastAsiaTheme="majorEastAsia" w:hAnsiTheme="majorHAnsi" w:cstheme="majorBidi"/>
      <w:b/>
      <w:bCs/>
      <w:color w:val="4472C4" w:themeColor="accent1"/>
      <w:sz w:val="26"/>
      <w:szCs w:val="26"/>
    </w:rPr>
  </w:style>
  <w:style w:type="paragraph" w:styleId="ListeParagraf">
    <w:name w:val="List Paragraph"/>
    <w:basedOn w:val="Normal"/>
    <w:uiPriority w:val="34"/>
    <w:qFormat/>
    <w:rsid w:val="00B212FB"/>
    <w:pPr>
      <w:ind w:left="720"/>
      <w:contextualSpacing/>
    </w:pPr>
  </w:style>
  <w:style w:type="character" w:styleId="DipnotBavurusu">
    <w:name w:val="footnote reference"/>
    <w:uiPriority w:val="99"/>
    <w:semiHidden/>
    <w:rsid w:val="00B212FB"/>
    <w:rPr>
      <w:rFonts w:cs="Times New Roman"/>
      <w:vertAlign w:val="superscript"/>
    </w:rPr>
  </w:style>
  <w:style w:type="paragraph" w:styleId="DipnotMetni">
    <w:name w:val="footnote text"/>
    <w:basedOn w:val="Normal"/>
    <w:link w:val="DipnotMetniChar"/>
    <w:uiPriority w:val="99"/>
    <w:unhideWhenUsed/>
    <w:qFormat/>
    <w:rsid w:val="00B212FB"/>
    <w:pPr>
      <w:spacing w:after="0" w:line="240" w:lineRule="auto"/>
    </w:pPr>
    <w:rPr>
      <w:sz w:val="20"/>
      <w:szCs w:val="20"/>
    </w:rPr>
  </w:style>
  <w:style w:type="character" w:customStyle="1" w:styleId="DipnotMetniChar">
    <w:name w:val="Dipnot Metni Char"/>
    <w:basedOn w:val="VarsaylanParagrafYazTipi"/>
    <w:link w:val="DipnotMetni"/>
    <w:uiPriority w:val="99"/>
    <w:rsid w:val="00B212FB"/>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2206</Words>
  <Characters>12579</Characters>
  <Application>Microsoft Office Word</Application>
  <DocSecurity>0</DocSecurity>
  <Lines>104</Lines>
  <Paragraphs>29</Paragraphs>
  <ScaleCrop>false</ScaleCrop>
  <Company>Silentall Unattended Installer</Company>
  <LinksUpToDate>false</LinksUpToDate>
  <CharactersWithSpaces>14756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mehmet uyar</dc:creator>
  <cp:keywords/>
  <dc:description/>
  <cp:lastModifiedBy>mehmet uyar</cp:lastModifiedBy>
  <cp:revision>2</cp:revision>
  <dcterms:created xsi:type="dcterms:W3CDTF">2020-03-17T19:09:00Z</dcterms:created>
  <dcterms:modified xsi:type="dcterms:W3CDTF">2020-03-17T19:09:00Z</dcterms:modified>
</cp:coreProperties>
</file>