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9271FE" w14:textId="77777777" w:rsidR="00C749EB" w:rsidRDefault="00C749EB"/>
    <w:p w14:paraId="284B44D5" w14:textId="2C9CB3F3" w:rsidR="00C749EB" w:rsidRPr="00C749EB" w:rsidRDefault="00C749EB">
      <w:pPr>
        <w:rPr>
          <w:b/>
          <w:bCs/>
          <w:sz w:val="24"/>
          <w:szCs w:val="24"/>
        </w:rPr>
      </w:pPr>
      <w:r w:rsidRPr="00C749EB">
        <w:rPr>
          <w:b/>
          <w:bCs/>
          <w:sz w:val="24"/>
          <w:szCs w:val="24"/>
        </w:rPr>
        <w:t xml:space="preserve">KAYNAK: Hukukun Temel Kavramları (2018), Anadolu </w:t>
      </w:r>
      <w:proofErr w:type="spellStart"/>
      <w:r w:rsidRPr="00C749EB">
        <w:rPr>
          <w:b/>
          <w:bCs/>
          <w:sz w:val="24"/>
          <w:szCs w:val="24"/>
        </w:rPr>
        <w:t>Üni</w:t>
      </w:r>
      <w:proofErr w:type="spellEnd"/>
      <w:r w:rsidRPr="00C749EB">
        <w:rPr>
          <w:b/>
          <w:bCs/>
          <w:sz w:val="24"/>
          <w:szCs w:val="24"/>
        </w:rPr>
        <w:t xml:space="preserve">. Açık Öğretim Fakültesi, s.29-32  </w:t>
      </w:r>
    </w:p>
    <w:p w14:paraId="0530F651" w14:textId="77777777" w:rsidR="00C749EB" w:rsidRDefault="00C749EB"/>
    <w:p w14:paraId="29279B60" w14:textId="77777777" w:rsidR="002234C8" w:rsidRPr="002234C8" w:rsidRDefault="00C749EB">
      <w:pPr>
        <w:rPr>
          <w:sz w:val="28"/>
          <w:szCs w:val="28"/>
        </w:rPr>
      </w:pPr>
      <w:r w:rsidRPr="002234C8">
        <w:rPr>
          <w:b/>
          <w:bCs/>
          <w:sz w:val="28"/>
          <w:szCs w:val="28"/>
        </w:rPr>
        <w:t>KANUNLARIN UYGULANMASINA İLİŞKİN ESASLAR</w:t>
      </w:r>
    </w:p>
    <w:p w14:paraId="36DB9547" w14:textId="77777777" w:rsidR="002234C8" w:rsidRDefault="00C749EB" w:rsidP="00400895">
      <w:pPr>
        <w:jc w:val="both"/>
      </w:pPr>
      <w:r>
        <w:t xml:space="preserve"> Kanunun uygulanması demek soyut hukuk kurallarının somut olaya uygulanması demektir. Böyle bir uygulamada, hukuk kuralı (büyük önerme); somut olay (küçük önerme) ve vargı (sonuç) anlamına gelir. Örneğin: “İşçinin çalıştığı işyerinde bir haftadan fazla süreyle işin durmasını gerektirecek zorlayıcı sebepler ortaya çıkarsa, işçi iş sözleşmesini haklı nedenle derhal </w:t>
      </w:r>
      <w:proofErr w:type="gramStart"/>
      <w:r>
        <w:t>feshedebilir”(</w:t>
      </w:r>
      <w:proofErr w:type="gramEnd"/>
      <w:r>
        <w:t>İş K. m.24/III).</w:t>
      </w:r>
    </w:p>
    <w:p w14:paraId="4B288D10" w14:textId="77777777" w:rsidR="002234C8" w:rsidRDefault="00C749EB" w:rsidP="00400895">
      <w:pPr>
        <w:jc w:val="both"/>
      </w:pPr>
      <w:r>
        <w:t xml:space="preserve">Bu hukuk kuralı, yani </w:t>
      </w:r>
      <w:r w:rsidRPr="002234C8">
        <w:rPr>
          <w:b/>
          <w:bCs/>
        </w:rPr>
        <w:t>büyük önermedir</w:t>
      </w:r>
      <w:r>
        <w:t xml:space="preserve">. Ali’nin çalıştığı işyerinde yangın çıkmış ve işyerindeki faaliyet bir haftadan fazla sürecek şekilde durmuştur. Bu </w:t>
      </w:r>
      <w:r w:rsidRPr="002234C8">
        <w:rPr>
          <w:b/>
          <w:bCs/>
        </w:rPr>
        <w:t>küçük önerme</w:t>
      </w:r>
      <w:r>
        <w:t xml:space="preserve">, yani somut olaydır. Ali bu olay sebebiyle ve kanuna dayalı olarak iş sözleşmesini haklı sebeple derhal feshedebilir. Bu da </w:t>
      </w:r>
      <w:r w:rsidRPr="002234C8">
        <w:rPr>
          <w:b/>
          <w:bCs/>
        </w:rPr>
        <w:t>vargı</w:t>
      </w:r>
      <w:r>
        <w:t>, yani sonuçtur. Böylece hukuk kuralı uygulanarak bir vargıya (sonuca) ulaşılmaktadır.</w:t>
      </w:r>
    </w:p>
    <w:p w14:paraId="3549C4A9" w14:textId="77777777" w:rsidR="002234C8" w:rsidRDefault="00C749EB" w:rsidP="00400895">
      <w:pPr>
        <w:jc w:val="both"/>
      </w:pPr>
      <w:r w:rsidRPr="002234C8">
        <w:rPr>
          <w:b/>
          <w:bCs/>
          <w:sz w:val="24"/>
          <w:szCs w:val="24"/>
        </w:rPr>
        <w:t>Hukukun Kaynakları ve Uygulanması Kanunların Zaman Bakımından Uygulanması</w:t>
      </w:r>
      <w:r>
        <w:t xml:space="preserve"> </w:t>
      </w:r>
    </w:p>
    <w:p w14:paraId="6BDA9D37" w14:textId="77777777" w:rsidR="002234C8" w:rsidRDefault="00C749EB" w:rsidP="00400895">
      <w:pPr>
        <w:jc w:val="both"/>
      </w:pPr>
      <w:r>
        <w:t>Bir kanunun ne zaman yürürlüğe gireceği kural olarak, kanun metninde belirtilir. Dolayısıyla kanun, kendi metninde belirtilen tarihte (genellikle yürürlük adını taşıyan maddedeki tarihte) yürürlüğe girer. Örneğin; 4857 sayılı İş Kanunu’nun 121. maddesinin başlığı “</w:t>
      </w:r>
      <w:proofErr w:type="spellStart"/>
      <w:r>
        <w:t>yürürlük”tür</w:t>
      </w:r>
      <w:proofErr w:type="spellEnd"/>
      <w:r>
        <w:t xml:space="preserve">. Bu maddeye göre “İş Kanunu Resmî </w:t>
      </w:r>
      <w:proofErr w:type="spellStart"/>
      <w:r>
        <w:t>Gazete’de</w:t>
      </w:r>
      <w:proofErr w:type="spellEnd"/>
      <w:r>
        <w:t xml:space="preserve"> yayımı tarihinde yürürlüğe girer”. 6100 sayılı Hukuk Muhakemeleri Kanunu’nun 451. maddesinde ilgili kanunun 1.10.2011 tarihinde yürürlüğe gireceği belirtilmiştir.</w:t>
      </w:r>
    </w:p>
    <w:p w14:paraId="4B9CE0B9" w14:textId="77777777" w:rsidR="002234C8" w:rsidRDefault="00C749EB" w:rsidP="00400895">
      <w:pPr>
        <w:jc w:val="both"/>
      </w:pPr>
      <w:r>
        <w:t xml:space="preserve">Kanunlar, Cumhurbaşkanlığı tarafından çıkarılan Resmî </w:t>
      </w:r>
      <w:proofErr w:type="spellStart"/>
      <w:r>
        <w:t>Gazete’de</w:t>
      </w:r>
      <w:proofErr w:type="spellEnd"/>
      <w:r>
        <w:t xml:space="preserve"> yayımlanır. Kanunların </w:t>
      </w:r>
      <w:proofErr w:type="spellStart"/>
      <w:r>
        <w:t>yürürlülük</w:t>
      </w:r>
      <w:proofErr w:type="spellEnd"/>
      <w:r>
        <w:t xml:space="preserve"> tarihî genellikle ilgili kanunda belirtilir. Eğer bir kanunun yürürlük tarihî belirtilmemişse, Resmî </w:t>
      </w:r>
      <w:proofErr w:type="spellStart"/>
      <w:r>
        <w:t>Gazete’de</w:t>
      </w:r>
      <w:proofErr w:type="spellEnd"/>
      <w:r>
        <w:t xml:space="preserve"> yayımlandığı gün yürürlüğe girer (</w:t>
      </w:r>
      <w:proofErr w:type="gramStart"/>
      <w:r>
        <w:t>Resmi</w:t>
      </w:r>
      <w:proofErr w:type="gramEnd"/>
      <w:r>
        <w:t xml:space="preserve"> Gazete Hakkında Cumhurbaşkanlığı Kararnamesi, m.7). Kanunlar kural olarak yürürlüğe girdikten sonraki dönem için uygulanır. </w:t>
      </w:r>
    </w:p>
    <w:p w14:paraId="50AAE831" w14:textId="77777777" w:rsidR="002234C8" w:rsidRDefault="00C749EB" w:rsidP="00400895">
      <w:pPr>
        <w:jc w:val="both"/>
      </w:pPr>
      <w:r>
        <w:t xml:space="preserve">Bir kanunun ne zaman yürürlükten kalkacağı çeşitli olasılıklara göre belirlenir. </w:t>
      </w:r>
    </w:p>
    <w:p w14:paraId="0C6A380E" w14:textId="77777777" w:rsidR="002234C8" w:rsidRDefault="00C749EB" w:rsidP="00400895">
      <w:pPr>
        <w:jc w:val="both"/>
      </w:pPr>
      <w:r>
        <w:t xml:space="preserve">a. Kanun metninde açıkça yürürlükten kalkma tarihi yer alabilir. Örneğin; bütçe kanunları bir yıllıktır ve bir yılın sonunda o yılın bütçe kanunu kendiliğinden yürürlükten kalkar. </w:t>
      </w:r>
    </w:p>
    <w:p w14:paraId="15770F41" w14:textId="77777777" w:rsidR="002234C8" w:rsidRDefault="00C749EB" w:rsidP="00400895">
      <w:pPr>
        <w:jc w:val="both"/>
      </w:pPr>
      <w:r>
        <w:t xml:space="preserve">b. Bir yeni kanun eski kanunu açıkça yürürlükten kaldırılabilir. Örneğin; 4857 sayılı İş Kanunu 120. maddesi ile önceki 1475 sayılı İş Kanunu’nu; 4721 sayılı Türk Medeni Kanunu ise 1028. </w:t>
      </w:r>
      <w:proofErr w:type="gramStart"/>
      <w:r>
        <w:t>maddesi</w:t>
      </w:r>
      <w:proofErr w:type="gramEnd"/>
      <w:r>
        <w:t xml:space="preserve"> ile önceki 743 sayılı Türk Kanunu Medenisini yürürlükten kaldırmıştır. </w:t>
      </w:r>
    </w:p>
    <w:p w14:paraId="38F5733E" w14:textId="77777777" w:rsidR="002234C8" w:rsidRDefault="00C749EB" w:rsidP="00400895">
      <w:pPr>
        <w:jc w:val="both"/>
      </w:pPr>
      <w:r>
        <w:t xml:space="preserve">c. Yeni kanun eski kanunun bütününü değil, bir maddesini yürürlükten kaldırabilir. Buna değişiklik yapma yolu ile yürürlükten kaldırma denir. </w:t>
      </w:r>
    </w:p>
    <w:p w14:paraId="77303F8C" w14:textId="77777777" w:rsidR="002234C8" w:rsidRDefault="00C749EB" w:rsidP="00400895">
      <w:pPr>
        <w:jc w:val="both"/>
      </w:pPr>
      <w:r>
        <w:t xml:space="preserve">d. Anayasa Mahkemesi de bir kanunun tamamını ya da </w:t>
      </w:r>
      <w:proofErr w:type="gramStart"/>
      <w:r>
        <w:t>bir kaç</w:t>
      </w:r>
      <w:proofErr w:type="gramEnd"/>
      <w:r>
        <w:t xml:space="preserve"> maddesini iptal ederek yürürlükten kaldırabilir.</w:t>
      </w:r>
    </w:p>
    <w:p w14:paraId="3769ADD6" w14:textId="77777777" w:rsidR="002234C8" w:rsidRDefault="00C749EB" w:rsidP="00400895">
      <w:pPr>
        <w:jc w:val="both"/>
      </w:pPr>
      <w:r>
        <w:t xml:space="preserve"> e. Bazen bir kanunun yürürlükten kalkıp kalkmadığı açıkça düzenlenmez. Diğer bir ifadeyle yürürlükte bir kanun bulunmasına rağmen aynı ya da benzer bir konuda yeni bir kanun yürürlüğe konulmuş ve eski kanun yürürlükten kaldırılmamış olabilir. Bu durumda önceki kanun ile sonraki kanunun niteliklerine bakılarak üstü kapalı bir yürürlükten kaldırmanın (zımni ilganın) varlığı araştırılır. Eğer,</w:t>
      </w:r>
    </w:p>
    <w:p w14:paraId="1709D57D" w14:textId="77777777" w:rsidR="002234C8" w:rsidRDefault="00C749EB" w:rsidP="00400895">
      <w:pPr>
        <w:jc w:val="both"/>
      </w:pPr>
      <w:r>
        <w:t xml:space="preserve">i. İki kanun da genel nitelikteyse iki genel kanundan eskisi yürürlükten kalkar. </w:t>
      </w:r>
    </w:p>
    <w:p w14:paraId="62ECF463" w14:textId="77777777" w:rsidR="002234C8" w:rsidRDefault="00C749EB" w:rsidP="00400895">
      <w:pPr>
        <w:jc w:val="both"/>
      </w:pPr>
      <w:r>
        <w:t>ii. İki kanun da özel kanun niteliğindeyse iki özel kanundan eskisi yürürlükten kalkar.</w:t>
      </w:r>
    </w:p>
    <w:p w14:paraId="3A524144" w14:textId="77777777" w:rsidR="002234C8" w:rsidRDefault="00C749EB" w:rsidP="00400895">
      <w:pPr>
        <w:jc w:val="both"/>
      </w:pPr>
      <w:r>
        <w:lastRenderedPageBreak/>
        <w:t xml:space="preserve"> iii. Önceki genel, sonraki özel bir kanun ise özel kanun genel kanunu yürürlükten kaldırır.</w:t>
      </w:r>
    </w:p>
    <w:p w14:paraId="3EC97E38" w14:textId="77777777" w:rsidR="002234C8" w:rsidRDefault="00C749EB" w:rsidP="00400895">
      <w:pPr>
        <w:jc w:val="both"/>
      </w:pPr>
      <w:r>
        <w:t xml:space="preserve"> iv. Önceki özel, sonraki genel bir kanun ise ilke olarak özel kanunun uygulanmasına devam edilir. Ancak bazı durumlarda farklı uygulamaya da gidilebilir. Kanunların Geçmişe Etkisi Kanunların zaman bakımında uygulanmasına ilişkin esaslardan biri, kanunların kural olarak geçmişi etkilememesi veya geriye yürümemesidir. Kanunlar kural olarak, </w:t>
      </w:r>
      <w:proofErr w:type="spellStart"/>
      <w:r>
        <w:t>yürürülüğe</w:t>
      </w:r>
      <w:proofErr w:type="spellEnd"/>
      <w:r>
        <w:t xml:space="preserve"> girdikleri tarihten sonraki olaylara uygulanırlar. Kanunun </w:t>
      </w:r>
      <w:proofErr w:type="spellStart"/>
      <w:r>
        <w:t>yürülüğünden</w:t>
      </w:r>
      <w:proofErr w:type="spellEnd"/>
      <w:r>
        <w:t xml:space="preserve"> önceki olaylara uygulanmaz. Bu ilkenin amacı, hukukun vatandaşlara sağladığı güvenin sürekli olmasıdır. Zira yürürlükte bulunan bir kanuna göre yapılan işlemler, daha sonra çıkarılan bir kanun ile geçersiz sayılırsa hukuka duyulan güven ve inanç sarsılır. Özel hukukta yeni çıkan kanun aksine bir hüküm olmadıkça eski kanun zamanındaki olaylara uygulanmaz; yürürlüğe girdiği zamandan sonraki olaylara uygulanır. Ancak, kamu düzeni ile ilgili olan hususlarda geçmişi etkileme </w:t>
      </w:r>
      <w:proofErr w:type="spellStart"/>
      <w:r>
        <w:t>sözkonusu</w:t>
      </w:r>
      <w:proofErr w:type="spellEnd"/>
      <w:r>
        <w:t xml:space="preserve"> olabilir. Eğer yeni kanunun geçmişe etkisi kazanılmış hakları etkilemiyor ve hukuk güvenliğini zedelemiyorsa kanun uygulaması geçmişe yürüyebilir. </w:t>
      </w:r>
    </w:p>
    <w:p w14:paraId="2748071F" w14:textId="77777777" w:rsidR="002234C8" w:rsidRDefault="00C749EB" w:rsidP="00400895">
      <w:pPr>
        <w:jc w:val="both"/>
      </w:pPr>
      <w:r>
        <w:t xml:space="preserve">Türk Medeni Kanunu’nun Yürürlüğü ve Uygulama Şekli Hakkında Kanun, özel hukuk bakımından konuyu ayrıntılı olarak düzenlemiş bulunmaktadır. Söz konusu Kanun’a göre, Türk Medeni Kanunu’nun yürürlüğe girdiği tarihten önceki olayların hukuki sonuçlarına, bu olaylar hangi kanun yürürlükte iken gerçekleşmişse o kanun hükümleri uygulanır. Türk Medeni Kanunu’nun yürürlüğe girdiği tarihten önce ya Hukukun Temel Kavramları </w:t>
      </w:r>
      <w:proofErr w:type="spellStart"/>
      <w:r>
        <w:t>pılmış</w:t>
      </w:r>
      <w:proofErr w:type="spellEnd"/>
      <w:r>
        <w:t xml:space="preserve"> olan işlemlerin hukuken bağlayıcı olup olmadıkları ve sonuçları, bu tarihten sonra dahi, yapıldıkları sırada yürürlükte bulunan kanunlara göre belirlenir (TMK m.1). Kanunların geçmişe etkisi ceza hukukunda farklı bir anlam taşımaktadır. Ceza hukuku açısından </w:t>
      </w:r>
      <w:proofErr w:type="gramStart"/>
      <w:r>
        <w:t>eski -</w:t>
      </w:r>
      <w:proofErr w:type="gramEnd"/>
      <w:r>
        <w:t xml:space="preserve"> yeni kanunlardan sanık lehine olanı uygulanır. Örneğin; bir fiilî eski ceza kanunu hükmü suç kabul ederken yeni kanun suç olmaktan çıkarırsa sanık ya da </w:t>
      </w:r>
      <w:proofErr w:type="gramStart"/>
      <w:r>
        <w:t>mahkumun</w:t>
      </w:r>
      <w:proofErr w:type="gramEnd"/>
      <w:r>
        <w:t xml:space="preserve"> beraat etmesi gerekir. Bu durumda hukuk kuralı geçmişi etkiler. Buna karşın bir fiilî eski kanun suç kabul etmez iken yeni kanun suç olarak görürse, sanığa eski kanun döneminde yaptığı fiil için yeni kanun döneminde ceza verilemez. Yani bu durumda geçmişe etki söz konusu olmaz. Konuyu düzenleyen Türk Ceza Kanunu’nun “Zaman Bakımından Uygulama” başlıklı 7. maddesine göre, “İşlendiği zaman yürürlükte bulunan kanuna göre suç sayılmayan bir fiilden dolayı kimseye ceza verilemez ve güvenlik tedbiri uygulanamaz. İşlendikten sonra yürürlüğe giren kanuna göre suç sayılmayan bir fiilden dolayı da kimse cezalandırılamaz ve hakkında güvenlik tedbiri uygulanamaz. Böyle bir ceza veya güvenlik tedbirine hükmedilmişse infazı ve kanuni neticeleri kendiliğinden kalkar”.</w:t>
      </w:r>
    </w:p>
    <w:p w14:paraId="4488D571" w14:textId="77777777" w:rsidR="002234C8" w:rsidRDefault="00C749EB" w:rsidP="00400895">
      <w:pPr>
        <w:jc w:val="both"/>
      </w:pPr>
      <w:r>
        <w:t xml:space="preserve"> Yargılama hukukuna ilişkin kanunlar bakımından derhal uygulama ilkesi geçerlidir. Yargılamaya ilişkin bir kanun </w:t>
      </w:r>
      <w:proofErr w:type="spellStart"/>
      <w:r>
        <w:t>yürülüğe</w:t>
      </w:r>
      <w:proofErr w:type="spellEnd"/>
      <w:r>
        <w:t xml:space="preserve"> girdikten sonra, henüz tamamlanmamış yargılama işlemlerine yeni kanun hükümleri uygulanacaktır. Tamamlanmış yargılama süreçleri bakımından ise yeni kanunun uygulanmasına </w:t>
      </w:r>
      <w:proofErr w:type="gramStart"/>
      <w:r>
        <w:t>imkan</w:t>
      </w:r>
      <w:proofErr w:type="gramEnd"/>
      <w:r>
        <w:t xml:space="preserve"> yoktur; zira ilgili işlem, eski kanunun </w:t>
      </w:r>
      <w:proofErr w:type="spellStart"/>
      <w:r>
        <w:t>yürülükte</w:t>
      </w:r>
      <w:proofErr w:type="spellEnd"/>
      <w:r>
        <w:t xml:space="preserve"> olduğu dönemde tamamlanmıştır. Kanunların Yer ve Kişi Bakımından Uygulanması Kanunlar kural olarak ülkenin coğrafi sınırları içinde uygulanır. Bir devletin kanunları, o devletin hâkimiyet alanı ve sınırları içinde geçerlidir. Bir ülke sınırları içinde bulunan herkesi o devletin hukukuna tâbi tutmaya </w:t>
      </w:r>
      <w:proofErr w:type="spellStart"/>
      <w:r w:rsidRPr="002234C8">
        <w:rPr>
          <w:b/>
          <w:bCs/>
        </w:rPr>
        <w:t>yersellik</w:t>
      </w:r>
      <w:proofErr w:type="spellEnd"/>
      <w:r>
        <w:t xml:space="preserve"> </w:t>
      </w:r>
      <w:proofErr w:type="spellStart"/>
      <w:r>
        <w:t>ikesi</w:t>
      </w:r>
      <w:proofErr w:type="spellEnd"/>
      <w:r>
        <w:t xml:space="preserve"> denir. Ülkede geçerli olan kanunlar, ülke sınırları içinde bulunan yerli yabancı herkese uygulanır ve kural olarak bir ayrım yapılmaz.</w:t>
      </w:r>
    </w:p>
    <w:p w14:paraId="1D9521B4" w14:textId="77777777" w:rsidR="002234C8" w:rsidRDefault="00C749EB" w:rsidP="00400895">
      <w:pPr>
        <w:jc w:val="both"/>
      </w:pPr>
      <w:r>
        <w:t xml:space="preserve"> Bu ilke, devletin egemenlik yetkisinin bir uzantısıdır. Bu ilke gereğince, Türkiye sınırları içinde meydana gelen olay ve ilişkilerde kural olarak Türk Hukuku uygulanır. Kişisellik ilkesi ise kişiyi nerede olursa olsun vatandaşı olduğu devletin ulusal kanunlarına tâbi tutma amacını taşır. Uygulamada kamu hukuku dalları bakımından </w:t>
      </w:r>
      <w:proofErr w:type="spellStart"/>
      <w:r>
        <w:t>yersellik</w:t>
      </w:r>
      <w:proofErr w:type="spellEnd"/>
      <w:r>
        <w:t xml:space="preserve"> ilkesinin geçerli olduğu görülür. Nitekim vergi hukukunda, ceza hukukunda ve usul hukuklarında kişilere bulundukları ülkenin kanunları uygulanır. Hatta ceza hukukunun temel ilkelerinden biri </w:t>
      </w:r>
      <w:proofErr w:type="spellStart"/>
      <w:r>
        <w:t>yerselliktir</w:t>
      </w:r>
      <w:proofErr w:type="spellEnd"/>
      <w:r>
        <w:t xml:space="preserve">. Yani kişiler suçu işledikleri yer kanunlarına göre cezalandırılırlar. Nitekim Türk Ceza Kanunu’na göre “Türkiye’de işlenen suçlar hakkında Türk Kanunları uygulanır. Fiilin kısmen veya tamamen Türkiye’de işlenmesi veya neticenin Türkiye’de gerçekleşmesi hâlinde suç Türkiye’de </w:t>
      </w:r>
      <w:r>
        <w:lastRenderedPageBreak/>
        <w:t xml:space="preserve">işlenmiş sayılır” (m.8). Özel hukuk alanında ise kişisellik ilkesinin ağır bastığı söylenebilir. Şöyle ki, bir ülkede yaşayan yabancıya kendi ulusal hukukunun uygulanması, bu kuralların bulunduğu ülkenin kamu düzenini ilgilendiren hükümlerine ters düşmemek koşuluyla mümkündür. </w:t>
      </w:r>
    </w:p>
    <w:p w14:paraId="55952171" w14:textId="31B40070" w:rsidR="00400895" w:rsidRDefault="00C749EB" w:rsidP="00400895">
      <w:pPr>
        <w:jc w:val="both"/>
      </w:pPr>
      <w:r>
        <w:t xml:space="preserve">Bazı durumlarda </w:t>
      </w:r>
      <w:proofErr w:type="spellStart"/>
      <w:r>
        <w:t>yersellik</w:t>
      </w:r>
      <w:proofErr w:type="spellEnd"/>
      <w:r>
        <w:t xml:space="preserve"> mi yoksa </w:t>
      </w:r>
      <w:r w:rsidRPr="002234C8">
        <w:rPr>
          <w:b/>
          <w:bCs/>
        </w:rPr>
        <w:t>kişisellik i</w:t>
      </w:r>
      <w:r>
        <w:t xml:space="preserve">lkesinin uygulanacağının tespiti çok zor olabilir. Bu noktada çıkacak sorunların çözümü, devletler özel hukukunun ilgi alanına girmektedir. Kanunların Anlam Bakımından Uygulanması Yorum </w:t>
      </w:r>
      <w:proofErr w:type="spellStart"/>
      <w:r>
        <w:t>Metodları</w:t>
      </w:r>
      <w:proofErr w:type="spellEnd"/>
      <w:r>
        <w:t xml:space="preserve"> Kanunların yorumu ile kanunların anlamının belirlenmesine çalışılır. Kanunlar yapılır ve yazılırken zaman zaman bazı belirsiz, şüpheli, açık olmayan ifadelerle karşılaşılabilir ve yorum yolu ile bu hususların açığa kavuşturulmasına çalışılır. Yorum yasama organınca yapılabilir, bu tür yoruma yasama yorumu denir. Yargı organınca yapılan yoruma yargısal yorum; bilim adamlarınca yapılan yoruma ise bilimsel yorum denir. 1924 Anayasası’nda kabul edilen yasama yorumu, sonraki </w:t>
      </w:r>
      <w:proofErr w:type="spellStart"/>
      <w:r>
        <w:t>Anayasa’larda</w:t>
      </w:r>
      <w:proofErr w:type="spellEnd"/>
      <w:r>
        <w:t xml:space="preserve"> yer almamıştır. Dolayısıyla bugün için TBMM sadece kanun yapabilir, yaptığı kanunun yorumu için kendisine başvurulmuş olsa bile yorum yapamaz. Bilimsel yorum,</w:t>
      </w:r>
      <w:r w:rsidR="00400895">
        <w:t xml:space="preserve"> hukukun ge</w:t>
      </w:r>
      <w:r w:rsidR="00400895">
        <w:t xml:space="preserve">lişmesine katkıda bulunurken, mahkemeleri bağlamaz, mahkemeler bilimsel yorumda farklı şeyler söylense bile kendi yargısal yorumlarını uygulayabilirler. </w:t>
      </w:r>
      <w:r>
        <w:t xml:space="preserve"> hukukun geVergi ve ceza hukuku gibi kamu hukuku dallarında </w:t>
      </w:r>
      <w:proofErr w:type="spellStart"/>
      <w:r>
        <w:t>yersellik</w:t>
      </w:r>
      <w:proofErr w:type="spellEnd"/>
      <w:r>
        <w:t xml:space="preserve"> ilkesi geçerlidir ve kişilere bulundukları ülkenin kanunları uygulanır</w:t>
      </w:r>
      <w:r w:rsidR="00400895">
        <w:t>.</w:t>
      </w:r>
    </w:p>
    <w:p w14:paraId="6E6706F2" w14:textId="5A50F676" w:rsidR="00C749EB" w:rsidRDefault="00C749EB" w:rsidP="00400895">
      <w:pPr>
        <w:jc w:val="both"/>
      </w:pPr>
      <w:r>
        <w:t xml:space="preserve">  Kanunda belirtilen sözleri açıklamak suretiyle yapılan yoruma </w:t>
      </w:r>
      <w:r w:rsidRPr="00400895">
        <w:rPr>
          <w:b/>
          <w:bCs/>
        </w:rPr>
        <w:t>lâfzî (</w:t>
      </w:r>
      <w:proofErr w:type="spellStart"/>
      <w:r w:rsidRPr="00400895">
        <w:rPr>
          <w:b/>
          <w:bCs/>
        </w:rPr>
        <w:t>dilbilgisel</w:t>
      </w:r>
      <w:proofErr w:type="spellEnd"/>
      <w:r w:rsidRPr="00400895">
        <w:rPr>
          <w:b/>
          <w:bCs/>
        </w:rPr>
        <w:t>)</w:t>
      </w:r>
      <w:r>
        <w:t xml:space="preserve"> yorum denir. Bu tür yorumda kelimelerin sözlük anlamları önemlidir. Ancak, kelimelere çok fazla önem verilmesi yüzünden bu yorum metodunda amaçtan uzaklaşıldığı ileri sürülmüştür. Lâfzî yorum metodu şekli bir yorum metodudur. Kanunun yorumunda kanun koyucunun </w:t>
      </w:r>
      <w:proofErr w:type="spellStart"/>
      <w:r>
        <w:t>subjektif</w:t>
      </w:r>
      <w:proofErr w:type="spellEnd"/>
      <w:r>
        <w:t xml:space="preserve"> iradesi dikkate alınıyorsa tarihsel yorum yöntemi söz konusu olur. Bu yorum metodu ise tarihsel olaylara önem verdiği ve güncel gelişmeleri dikkate almadığı için eleştirilmektedir. Hukuk kuralının yorumunda ve hukuki uyuşmazlığın çözümünde sosyal gerçekliğe, somut gerçekliğe ve eşyanın tabiatına önem ve öncelik veriliyorsa </w:t>
      </w:r>
      <w:proofErr w:type="spellStart"/>
      <w:r>
        <w:t>amaçsal</w:t>
      </w:r>
      <w:proofErr w:type="spellEnd"/>
      <w:r>
        <w:t xml:space="preserve"> yorum metodu söz konusu olur. Bu yöntemde amaç toplumsal barış ve toplumun gerekleridir. </w:t>
      </w:r>
      <w:proofErr w:type="spellStart"/>
      <w:r>
        <w:t>Amaçsal</w:t>
      </w:r>
      <w:proofErr w:type="spellEnd"/>
      <w:r>
        <w:t xml:space="preserve"> yorum, çağdaş bir yorum yöntemidir. Yorumda Kullanılan Mantık İlkeleri Hukuk kuralları yorumlanırken mantık ilkelerinden yararlanılması gerekir. Hukuki mantığın temeli “hukuk normu” dur. Hukuk normu mantıktaki büyük önermedir. Somut olay küçük önermeyi, vargı da sonucu belirler. Örneğin, Türk Medeni Kanunu’nun 118. maddesine göre “Nişanlanma evlenme vaadiyle olur”. Bu büyük önerme, yani hukuk kuralıdır. Somut olayda Ali Ayşe’ye evlenme vaadinde bulunmuştur. Bu küçük önerme, yani somut bir olaydır. Soyut kuralın somut olaya, büyük önermenin küçük önermeye uygulanmasıyla vargıya, yani sonuca ulaşılır. Ulaşılan sonuç ise Ali ile Ayşe’nin nişanlanmış oldukları ve Türk Medeni Kanunu’nun 119. ve devamındaki maddelerinde düzenlenen nişanlanmanın hükümlerine tâbi olacaklarıdır. Hukuk kurallarının yorumunda kullanılan mantık ilkelerinden ilki kıyastır. (</w:t>
      </w:r>
      <w:proofErr w:type="spellStart"/>
      <w:r>
        <w:t>Anologia</w:t>
      </w:r>
      <w:proofErr w:type="spellEnd"/>
      <w:r>
        <w:t>). Kıyas, bir olay ile ilgili olarak hukukun öngördüğü çözümün, bu olaya benzer özellikler taşıyan başka bir olay bakımından da geçerli sayılmasıdır. Örneğin; sigara içmenin yasak olduğu bir yerde kıyas yolu ile pipo ya da nargile içmenin yasak olduğu sonucuna varılabilir. Kıyas yoluna bazen durumun bir gereği olarak başvurulabilir; bazen de kanun açıkça kıyas yolunu benimser. Örneğin Türk Borçlar Kanunu’nun 246. maddesine göre, “Taşınır satımına ilişkin hükümler kıyas yoluyla taşınmaz satımına da uygulanır”. Kıyas uygulaması genişletici yoruma imkân verir. Bu yönüyle kıyasın ceza hukukunda uygulanması söz konusu değildir. Zira Kanun’un açıkça suç saymadığı bir fiil için kimseye ceza verilemez ve güvenlik tedbiri uygulanmaz. Kanunda yazılı cezalardan ve güvenlik tedbirlerinden başka bir ceza ve güvenlik tedbirine hükmolunamaz (TCK m.2). “Kanunsuz suç ve ceza olmaz” ilkesi sebebiyle kıyasa gidilerek yeni suçlar yaratılamaz. Yorumda kullanılan mantık ilkelerinden ikincisi aksi ile kanıttır (</w:t>
      </w:r>
      <w:proofErr w:type="spellStart"/>
      <w:r>
        <w:t>Argumentum</w:t>
      </w:r>
      <w:proofErr w:type="spellEnd"/>
      <w:r>
        <w:t xml:space="preserve"> a </w:t>
      </w:r>
      <w:proofErr w:type="spellStart"/>
      <w:r>
        <w:t>Contrario</w:t>
      </w:r>
      <w:proofErr w:type="spellEnd"/>
      <w:r>
        <w:t xml:space="preserve">). Aksi ile kanıt uygulaması kapsamı daraltmaktadır. Hakkında çözüm bulunmayan bir konuda mevcut kuralın daraltılarak uygulanması, yani kuralın içermediği hususların kural dışına çıkarılması niteliğindeki mantık ilkesidir. Örneğin; bir fiil suç ise aksi ile kanıt yöntemi dolayısıyla o fiilin aksi suç değildir. Ya </w:t>
      </w:r>
      <w:proofErr w:type="gramStart"/>
      <w:r>
        <w:t>da,</w:t>
      </w:r>
      <w:proofErr w:type="gramEnd"/>
      <w:r>
        <w:t xml:space="preserve"> “20 yaşını dolduran her erkek Türk Vatandaşı askerliğini yapar” (Askerlik K. m. 1) hükmü </w:t>
      </w:r>
      <w:r>
        <w:lastRenderedPageBreak/>
        <w:t>karşısında, aksi ile kanıt yöntemine göre kadınlar askerlik yapmazlar. Türk Medeni Kanunu 11. maddesine göre “evlenme kişiyi ergin kılar”. O hâlde aksi ile kanıt ilkesi sonucu nişanlanma kişiyi ergin kılmaz. Yorumda sıklıkla kullanılan mantık ilkelerinden üçüncüsü evleviyet yoludur (</w:t>
      </w:r>
      <w:proofErr w:type="spellStart"/>
      <w:r>
        <w:t>Argumentum</w:t>
      </w:r>
      <w:proofErr w:type="spellEnd"/>
      <w:r>
        <w:t xml:space="preserve"> a </w:t>
      </w:r>
      <w:proofErr w:type="spellStart"/>
      <w:r>
        <w:t>Fortiori</w:t>
      </w:r>
      <w:proofErr w:type="spellEnd"/>
      <w:r>
        <w:t xml:space="preserve">). Kıyas uygulamasının belirgin olduğu durumlarda “çoğun içinde az da vardır” anlamına gelen uygulamadır. Örneğin; bir iş başvurusu için Yüksek Lisans yapmış olma koşulu aranıyorsa doktorasını tamamlamış bir kimse de o işe başvurabilir; zira doktora yapmış olanlar zaten yüksek lisans yapmış kabul edilirler. Ya da çimlere basmanın yasak olduğu bir yerde, çimlere oturmanın da yasak olduğu sonucuna varılabilir. Evleviyet yolu, kıyasın bir türüdür. Bu yola “haydi haydi uygulama” da denir. “Çoğun içinde az da vardır” kuralı, evleviyet ilkesi ile bağlantılıdır. </w:t>
      </w:r>
    </w:p>
    <w:p w14:paraId="6FD40749" w14:textId="77777777" w:rsidR="00050740" w:rsidRDefault="00C749EB" w:rsidP="00400895">
      <w:pPr>
        <w:jc w:val="both"/>
      </w:pPr>
      <w:r>
        <w:t xml:space="preserve">Yasama organınca yapılan yoruma yasama yorumu; yargı organınca yapılan yorum yargısal </w:t>
      </w:r>
      <w:proofErr w:type="gramStart"/>
      <w:r>
        <w:t>yorum;</w:t>
      </w:r>
      <w:proofErr w:type="gramEnd"/>
      <w:r>
        <w:t xml:space="preserve"> bilim adamlarınca yapılan yorum ise bilimsel yorum olarak adlandırılır. </w:t>
      </w:r>
    </w:p>
    <w:p w14:paraId="53133355" w14:textId="77777777" w:rsidR="00050740" w:rsidRDefault="00C749EB" w:rsidP="00400895">
      <w:pPr>
        <w:jc w:val="both"/>
      </w:pPr>
      <w:r w:rsidRPr="00050740">
        <w:rPr>
          <w:b/>
          <w:bCs/>
          <w:sz w:val="24"/>
          <w:szCs w:val="24"/>
        </w:rPr>
        <w:t xml:space="preserve"> HÂKİMİN TAKDİR YETKİSİ VE HUKUK YARATMASI</w:t>
      </w:r>
      <w:r>
        <w:t xml:space="preserve"> </w:t>
      </w:r>
    </w:p>
    <w:p w14:paraId="344983D1" w14:textId="77777777" w:rsidR="00050740" w:rsidRDefault="00C749EB" w:rsidP="00400895">
      <w:pPr>
        <w:jc w:val="both"/>
      </w:pPr>
      <w:r>
        <w:t xml:space="preserve">Türk Medeni Kanunu’nun 4. maddesi hâkimin takdir hakkını düzenlemektedir. Bu maddeye göre, kanunun takdir yetkisi tanıdığı veya durumun gereklerini ya da haklı sebepleri göz önünde tutmayı emrettiği konularda hâkim, hukuka ve </w:t>
      </w:r>
      <w:proofErr w:type="spellStart"/>
      <w:r>
        <w:t>hakkaniye</w:t>
      </w:r>
      <w:proofErr w:type="spellEnd"/>
      <w:r>
        <w:t xml:space="preserve"> göre karar verir. Hâkimin takdir yetkisini kullandığı durumlarda ortada </w:t>
      </w:r>
      <w:r w:rsidRPr="00050740">
        <w:rPr>
          <w:b/>
          <w:bCs/>
        </w:rPr>
        <w:t>soyut hukuk kuralı</w:t>
      </w:r>
      <w:r>
        <w:t xml:space="preserve"> vardır. Ancak hâkim bu kuralın sınırları içinde değerlendirme yetkisine sahiptir. Hâkim olayın özelliklerine göre farklı uygulamalara gidebilir. Örneğin; Ceza Hukukunda cezaların alt ve üst sınırları vardır. Hâkim somut olaya göre alt ve üst sınırlar arasında bir ceza tespit eder (TCK m. 61). Yine Borçlar Kanunu’na göre, manevi tazminatta hâkimin geniş bir takdir yetkisi vardır. Hâkim talep edilen manevi tazminatı olayın özellikleri ve tarafların durumuna göre belirler (TBK m. 56). Kanun koyucunun hâkime takdir yetkisi tanıdığı </w:t>
      </w:r>
      <w:r w:rsidRPr="00050740">
        <w:rPr>
          <w:b/>
          <w:bCs/>
        </w:rPr>
        <w:t>“somut olayın şartları</w:t>
      </w:r>
      <w:r>
        <w:t xml:space="preserve">”, “gerekli önlemlerin alınması” veya “önemli sebeplerin bulunması” gibi ifadelerden anlaşılmaktadır. Hâkimin, önüne gelen bir uyuşmazlığı çözümsüz bırakması ve bir karar vermeden kaçınması mümkün değildir. Anayasa’nın 36. maddesinin ikinci fıkrasına göre, bir mahkeme görev ve yetkisi içindeki davaya bakmaktan kaçınamaz. Medeni Kanun’un 1. maddesine göre, “hakkında uygulanabilecek Kanun hükmü ya da örf ve âdet kuralı bulunmayan konularda, hâkim kanun koyucu olsa idi nasıl bir kural koyacak idiyse ona göre hüküm verir”. </w:t>
      </w:r>
    </w:p>
    <w:p w14:paraId="46057E0D" w14:textId="22A52357" w:rsidR="00400895" w:rsidRDefault="00C749EB" w:rsidP="00400895">
      <w:pPr>
        <w:jc w:val="both"/>
      </w:pPr>
      <w:r>
        <w:t xml:space="preserve">Hâkim hakkı yerine getirmekten kaçınamaz; dolayısıyla özel hukuk bakımından hâkim önüne gelen bir </w:t>
      </w:r>
      <w:proofErr w:type="gramStart"/>
      <w:r>
        <w:t>uyuşmazlıkta</w:t>
      </w:r>
      <w:proofErr w:type="gramEnd"/>
      <w:r>
        <w:t xml:space="preserve"> çözüm için bir hukuk kuralına ulaşamazsa öncelikle kıyas yapacak; benzeri hükümleri uygulamayı deneyecek, bilimsel ve yargısal içtihattan yararlanabilecek; gelenek hukukuna başvuracaktır. Eğer bu yollarla sonuca ulaşamazsa kendisini kanun koyucu yerine koyarak hukuki sorunu çözmeye çalışacaktır. Buna hâkimin hukuk yaratması denir. Ceza hukukunda kanunsuz suç ve ceza olmaz ilkesi gereği hâkimin hukuk yaratması söz konusu olmaz. Eğer bir konu ceza kanunları ile düzenlenmemişse, hâkim kendi görüş ve düşüncesine uygun bulmasa dahi hukuk yaratamayacak ve ortada bir suç ve ceza olmadığı için davaya son verecektir. </w:t>
      </w:r>
    </w:p>
    <w:sectPr w:rsidR="00400895">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49EB"/>
    <w:rsid w:val="00050740"/>
    <w:rsid w:val="002234C8"/>
    <w:rsid w:val="003635AF"/>
    <w:rsid w:val="00400895"/>
    <w:rsid w:val="009F6266"/>
    <w:rsid w:val="00C749EB"/>
    <w:rsid w:val="00DC11A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01E86F"/>
  <w15:chartTrackingRefBased/>
  <w15:docId w15:val="{B6A6E10F-3922-4E68-AC7B-337C8E07E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4</Pages>
  <Words>2291</Words>
  <Characters>13064</Characters>
  <Application>Microsoft Office Word</Application>
  <DocSecurity>0</DocSecurity>
  <Lines>108</Lines>
  <Paragraphs>30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NURHAYAT YOLOĞLU</dc:creator>
  <cp:keywords/>
  <dc:description/>
  <cp:lastModifiedBy>NURHAYAT YOLOĞLU</cp:lastModifiedBy>
  <cp:revision>6</cp:revision>
  <dcterms:created xsi:type="dcterms:W3CDTF">2021-06-14T14:50:00Z</dcterms:created>
  <dcterms:modified xsi:type="dcterms:W3CDTF">2021-06-14T15:34:00Z</dcterms:modified>
</cp:coreProperties>
</file>