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70"/>
      </w:tblGrid>
      <w:tr w:rsidR="00437CFE" w:rsidRPr="00437CFE" w:rsidTr="00437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CFE" w:rsidRPr="00437CFE" w:rsidRDefault="00437CFE" w:rsidP="0043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CFE" w:rsidRPr="00437CFE" w:rsidRDefault="00810B57" w:rsidP="0043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476621" w:rsidRPr="00476621">
              <w:rPr>
                <w:rFonts w:ascii="Times New Roman" w:hAnsi="Times New Roman" w:cs="Times New Roman"/>
                <w:b/>
                <w:sz w:val="24"/>
                <w:szCs w:val="24"/>
              </w:rPr>
              <w:t>C.perfiringens</w:t>
            </w:r>
            <w:proofErr w:type="spellEnd"/>
          </w:p>
        </w:tc>
      </w:tr>
    </w:tbl>
    <w:p w:rsidR="00476621" w:rsidRPr="00476621" w:rsidRDefault="00BF4709" w:rsidP="00476621">
      <w:pPr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F4709">
        <w:rPr>
          <w:rFonts w:ascii="Times New Roman" w:hAnsi="Times New Roman" w:cs="Times New Roman"/>
          <w:sz w:val="24"/>
          <w:szCs w:val="24"/>
        </w:rPr>
        <w:tab/>
      </w:r>
      <w:r w:rsidR="00BB4795" w:rsidRPr="00BB4795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Eski adı </w:t>
      </w:r>
      <w:proofErr w:type="spellStart"/>
      <w:r w:rsidR="00476621"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Clostridium</w:t>
      </w:r>
      <w:proofErr w:type="spellEnd"/>
      <w:r w:rsidR="00476621"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proofErr w:type="spellStart"/>
      <w:r w:rsidR="00476621"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welchii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olan </w:t>
      </w:r>
      <w:r w:rsidR="00476621"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="00476621"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Amerikalı bakteriyolog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Welch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tarafından, ciddi yara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infeksiyonları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ile gazlı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gangrene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neden olan bir bakteri olarak ilk kez 1897 yılında gıda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infeksiyonu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etkeni olarak ise 1940’larda tanımlanmıştır. Buna ilişkin olarak sıklıkla A tipinden kaynaklanan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enterit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ile daha az olarak da C tipinden kaynaklanan nekrotik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enteritise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Pig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-bel,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Darmbrand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) rastlanmaktadır. Gıda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infeksiyonunun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yumuşak seyirli olmasına bağlı olarak, tanımlanmayan ve rapor edilmeyen olgu sayısının çok yüksek olduğu tahmin edilmektedir. </w:t>
      </w:r>
      <w:r w:rsidR="00476621"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="00476621"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başta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enterotoksemi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olmak üzere hayvanlarda da önemli </w:t>
      </w:r>
      <w:proofErr w:type="spellStart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infeksiyonlara</w:t>
      </w:r>
      <w:proofErr w:type="spellEnd"/>
      <w:r w:rsidR="00476621"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neden olmaktadır.</w:t>
      </w:r>
    </w:p>
    <w:p w:rsidR="00476621" w:rsidRPr="00476621" w:rsidRDefault="00476621" w:rsidP="0047662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76621" w:rsidRPr="00476621" w:rsidRDefault="00476621" w:rsidP="0047662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Klasifikasyonu</w:t>
      </w:r>
      <w:proofErr w:type="spellEnd"/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ve Genel Özellikleri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Clostridium</w:t>
      </w:r>
      <w:proofErr w:type="spellEnd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taze kültürlerde Gram pozitif,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çubukçuk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formunda, büyük (3-9/1.0-</w:t>
      </w: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1.5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µm), sporlu, hareketsiz,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katalaz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negatif, H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2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S oluşturan,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lesitinaz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jelatinaz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pozitif, nitrat indirgeme ve laktozu fermente etme özelliğine sahip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Bacillaceae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familyasında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anaerob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bir bakteridir.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anaerobik özelliği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’da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olduğu kadar kesin bir parametre olmayıp, etken ortamda düşük seviyedeki oksijenin varlığında da üreyebilir. Sporları büyük, oval şekilde, santral veya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subterminal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lokalizasyona sahiptir. Isıya ve kurutmaya dayanıklıdır. 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A, B, C, D ve E tipleri, başlıca alfa, beta, gama, epsilon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iota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toksinlerini oluştururlar. Bunlardan alfa toksin bütün tipler tarafından oluşturulur. Alfa toksin,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letal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nekrotik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hemolitik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özellikte olup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asıl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virülens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faktörleri olan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lesitinaz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fosfolipaz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C yapısındadır.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A, C ve D tipleri insan için, B, C, D, E ile muhtemelen A tipi hayvanlar için patojendir. Gıda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infeksiyonlarına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neden olanlar A ve C tipleridir. Protein yapısındaki toksinlerin çoğu 60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tr-TR"/>
        </w:rPr>
        <w:t>o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C’de 10 dakikada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yıkımlanır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.</w:t>
      </w:r>
    </w:p>
    <w:p w:rsidR="00476621" w:rsidRPr="00476621" w:rsidRDefault="00476621" w:rsidP="0047662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Mezofilik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bir bakteri olan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optimal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üreme sıcaklığı </w:t>
      </w:r>
      <w:smartTag w:uri="urn:schemas-microsoft-com:office:smarttags" w:element="metricconverter">
        <w:smartTagPr>
          <w:attr w:name="ProductID" w:val="45ﾰC"/>
        </w:smartTagPr>
        <w:r w:rsidRPr="00476621">
          <w:rPr>
            <w:rFonts w:ascii="Times New Roman" w:eastAsia="Times New Roman" w:hAnsi="Times New Roman" w:cs="Times New Roman"/>
            <w:sz w:val="24"/>
            <w:szCs w:val="20"/>
            <w:lang w:eastAsia="tr-TR"/>
          </w:rPr>
          <w:t>45°C</w:t>
        </w:r>
      </w:smartTag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(43-46) olup, bakteri 14°C’nin altında ve 50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tr-TR"/>
        </w:rPr>
        <w:t>o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C’nin üzerinde üremez. Optimal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pH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 6-7’dir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pH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pH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≤5 ile ≥9 arasında üreme görülmez. Bu nedenle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asitliğe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’dan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çok daha duyarlıdır. Etkenlerin üremesi genelde % 6’lık tuzlu ortamda (bazı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suşlar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% 8’e kadar) baskılanır. Ancak spor formları % </w:t>
      </w: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21.5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NaCl’de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canlılığını koruyabilmektedir. Düşük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a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w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değerine dirençli olmayıp gelişmeleri için gereken en düşük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a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w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 0.95-0.97 arasındadır. Etkenin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vejetatif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formları ısıya duyarlı olup, yaklaşık % 90’ı 60°C’de 5 dakikada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yıkımlanır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. Buna karşın sporlar için ısıya duyarlılık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suşa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(genetik faktör) ve çevresel faktörlere göre büyük değişkenlik gösterir. Isıya dirençli sporlarda D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90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değeri 15-145 dakika, ısıya duyarlı sporlarda 3-5 dakikadır.  Yine sporlar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suşa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bağlı değişkenlik göstererek, 100°C’de 0.31 dakika ile 38 dakika arasında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yıkımlanırlar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. Buna ilave olarak, etkenin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vejetatif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formu gıdada çok hızlı çoğalma özelliğine sahiptir. Bu özellik ve sporların yüksek ısıya dirençli oluşu gıda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infeksiyonlarının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oluşumunda büyük rol oynar. Buna karşın dondurma işlemi (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cold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shock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)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ve sporları üzerine çok etkili olup, uzun süreli donmuş muhafaza koşullarında (-18°C’de 3-6 ay) etkenlerin büyük bölümü canlılığını kaybeder.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Hipoklorit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sporları üzerine öldürücü etkiye sahiptir.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Bakteri, gelişmesi için 13-14 </w:t>
      </w: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amino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asit ile 5-6 vitamin ve mineral maddeye (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biotin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pantotenik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asit,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pridoksal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adenin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 diğerleri) ihtiyaç duyması nedeniyle en iyi et veya et bazlı gıdalarda bulunur.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Heterofermentatif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özelliği nedeniyle de çoğu karbonhidratları parçalar.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lastRenderedPageBreak/>
        <w:t xml:space="preserve">Gıdaların normal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mikrofloraları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da; örneğin et ve et ürünlerindeki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psikrofiller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aerob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mezofil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bakteriler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enterokoklar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gelişmesini baskılarlar. Ayrıca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bakteriyosinler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üzerine kuvvetli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inhibitörik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etki gösterirler.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botulinum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gibi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gelişmesi de NaNO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2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ile baskılanır. NaNO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2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aynı zamanda sporların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germinasyonunu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da baskılar. Laboratuvar koşullarında 300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ppm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NaNO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bscript"/>
          <w:lang w:eastAsia="tr-TR"/>
        </w:rPr>
        <w:t>2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ilavesi halinde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’te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hiçbir gelişme görülmediği saptanmıştır. Bu nedenle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kürlenmiş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etlerden kaynaklanan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infeksiyonu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çok azdır.</w:t>
      </w:r>
    </w:p>
    <w:p w:rsidR="00476621" w:rsidRPr="00476621" w:rsidRDefault="00476621" w:rsidP="0047662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doğal çevrede (toprak-su), sağlıklı insanların ve bazı hayvanların bağırsaklarında bulunur.</w:t>
      </w:r>
    </w:p>
    <w:p w:rsidR="00BB4795" w:rsidRDefault="00BB4795" w:rsidP="00476621">
      <w:pPr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76621" w:rsidRPr="00476621" w:rsidRDefault="00476621" w:rsidP="0047662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Minimal </w:t>
      </w:r>
      <w:proofErr w:type="spellStart"/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İnfeksiyon</w:t>
      </w:r>
      <w:proofErr w:type="spellEnd"/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Dozu</w:t>
      </w:r>
    </w:p>
    <w:p w:rsidR="00476621" w:rsidRPr="00476621" w:rsidRDefault="00476621" w:rsidP="0047662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’ten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kaynaklanan gıda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infeksiyonlarında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minimal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dozu 10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tr-TR"/>
        </w:rPr>
        <w:t>6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-10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tr-TR"/>
        </w:rPr>
        <w:t>8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kob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/g dolayındadır. Ancak bu kadar yüksek sayıda canlı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midenin asit ortamında canlılığını koruyabilmekte ve toksin oluşturduğu bağırsaklara geçebilmektedir. Gıda kaynaklı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infeksiyonunun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meydana gelebilmesi için 8-10 mg toksinin alınması gerekir.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Stafilokokal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intoksikasyonlar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(1 µg) ile karşılaştırıldığında bu değer oldukça yüksektir. 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Semptomlar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İnsanlarda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 ve C tipleri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gastroenteritis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oluşturur. 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A tipi gıda </w:t>
      </w:r>
      <w:proofErr w:type="spellStart"/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infeksiyonu</w:t>
      </w:r>
      <w:proofErr w:type="spellEnd"/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A tipi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’ten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kaynaklanan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infeksiyonlarda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inkübasyon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süresi genelde 12 saat (8-24 saat) olup, belirtiler yaklaşık 12-24 saat içerisinde sonlanır.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İnfeksiyonda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en belirgin </w:t>
      </w: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semptomlar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kuvvetli karın krampları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profuz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ishaldir. Bulantı, kusma ve dolaşım bozukluklarına nadiren rastlanır.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İnfeksiyon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yumuşak seyirli ve ölüm oranı çok düşüktür. Ölüm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dehidrasyona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bağlı olarak yaşlı ve çok genç insanlarda görülür.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A tipi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infeksiyonlarında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kontamine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gıdalar çoğunlukla ısı işlemi görmüştür. Buna bağlı olarak rekabetçi flora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yıkımlanırken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sporları canlı kalarak dominant hale gelirler.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Gıda ile alınan milyonlarca canlı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vejetatif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bakterinin ancak bir kısmı midenin asit ortamında canlılığını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sürdürürek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ince bağırsaklara geçer ve burada spor formları oluşur.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Enterotoksin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sporlanmış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hücrelerin içinde oluşur ve hücrelerin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lize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olması ile ortama salınır.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Enterotoksinler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sporangium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hücrelerinin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lize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olmalarından hemen önce en üst düzeyde oluşturulurlar. Bu toksinler de tipik </w:t>
      </w: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semptomların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oluşumuna neden olurlar.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toksinleri bağırsak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epitel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hücrelerini etkileyerek bağırsak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lumenine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proteinlerin kaybına ve glikoz transportunun baskılanmasına neden olur. Ancak,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enterotoksinin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sporlanmamış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vejetatif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hücre kültürleri tarafından da oluşturulduğu bildirilmiştir.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Kolera toksinlerinin tersine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toksinleri maksimum aktivitesini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ileumda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minimum aktivitesini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duedonumda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gösterirler.</w:t>
      </w:r>
    </w:p>
    <w:p w:rsidR="00476621" w:rsidRPr="00476621" w:rsidRDefault="00476621" w:rsidP="00476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Çok sayıda (&gt;10</w:t>
      </w:r>
      <w:r w:rsidRPr="0047662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tr-TR"/>
        </w:rPr>
        <w:t>7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kob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/g)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’in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gıda ile alınması.</w:t>
      </w:r>
    </w:p>
    <w:p w:rsidR="00476621" w:rsidRPr="00476621" w:rsidRDefault="00476621" w:rsidP="00476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Etkenin ince bağırsaklarda üremesi ve spor oluşturması.</w:t>
      </w:r>
      <w:proofErr w:type="gramEnd"/>
    </w:p>
    <w:p w:rsidR="00476621" w:rsidRPr="00476621" w:rsidRDefault="00476621" w:rsidP="00476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Sporlanmış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bakteri hücrelerinde toksin sentezlenmesi.</w:t>
      </w:r>
    </w:p>
    <w:p w:rsidR="00476621" w:rsidRPr="00476621" w:rsidRDefault="00476621" w:rsidP="00476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Sporların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lize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olarak toksinin serbest hale gelmesi.</w:t>
      </w:r>
    </w:p>
    <w:p w:rsidR="00476621" w:rsidRPr="00476621" w:rsidRDefault="00476621" w:rsidP="004766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Bağırsak </w:t>
      </w:r>
      <w:proofErr w:type="spellStart"/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lumeninde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sıvı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birikmesi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diyare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.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C tipi gıda </w:t>
      </w:r>
      <w:proofErr w:type="spellStart"/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infeksiyonu</w:t>
      </w:r>
      <w:proofErr w:type="spellEnd"/>
      <w:r w:rsidRPr="00476621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Tip C  “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enteritis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necroticans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” nedeni olup, Yeni Gine ve Vietnam’da görülür. Yetersiz pişmiş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kontamine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domuz etinin,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tripsin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inhibitörü içeren tatlı patates ve muz ile birlikte tüketilmesi </w:t>
      </w: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lastRenderedPageBreak/>
        <w:t xml:space="preserve">sonucu şekillenir. Tatlı patatesler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tripsin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inhibitörü içerirler ve bunlar bağırsaklardan salınan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proteolitik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enzimleri baskılarlar.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Proteazların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baskılanması sonucu protein yapısındaki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Clostridium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nekrotoksinleri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inaktive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edilemez ve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şekillenir.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Malnutrisyon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sonucu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intestinal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proteazların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seviyesinin düşmesi yapıcı faktör olarak etkir.</w:t>
      </w: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76621" w:rsidRPr="00476621" w:rsidRDefault="00476621" w:rsidP="0047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Tip C’de </w:t>
      </w:r>
      <w:proofErr w:type="gram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semptomlar</w:t>
      </w:r>
      <w:proofErr w:type="gram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abdominal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kramplar ve ishalle sınırlı olmayıp, kusma, ince bağırsaklarda nekrotik akut yangı ve özellikle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ileumun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belli bölümlerinde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gangren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görülür. Bu tipte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mortalite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% 15-40 düzeylerindedir. C tipi </w:t>
      </w:r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C. </w:t>
      </w:r>
      <w:proofErr w:type="spellStart"/>
      <w:r w:rsidRPr="00476621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perfringens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infeksiyonlarına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endüstrileşmiş ülkelerde nadiren rastlanmaktadır. </w:t>
      </w:r>
      <w:proofErr w:type="spellStart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>İnkubasyon</w:t>
      </w:r>
      <w:proofErr w:type="spellEnd"/>
      <w:r w:rsidRPr="00476621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süresi en az 5-6 saattir.</w:t>
      </w:r>
    </w:p>
    <w:p w:rsidR="00476621" w:rsidRPr="00BB4795" w:rsidRDefault="00476621" w:rsidP="00476621">
      <w:pPr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bookmarkStart w:id="0" w:name="_GoBack"/>
      <w:bookmarkEnd w:id="0"/>
    </w:p>
    <w:p w:rsidR="002E4F71" w:rsidRPr="002E4F71" w:rsidRDefault="002E4F71" w:rsidP="00BB4795">
      <w:pPr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E4F71" w:rsidRDefault="002E4F71" w:rsidP="002E4F71">
      <w:pPr>
        <w:rPr>
          <w:rFonts w:ascii="Times New Roman" w:hAnsi="Times New Roman" w:cs="Times New Roman"/>
          <w:sz w:val="24"/>
          <w:szCs w:val="24"/>
        </w:rPr>
      </w:pPr>
    </w:p>
    <w:p w:rsidR="007F45FF" w:rsidRPr="00BF4709" w:rsidRDefault="00224EFA">
      <w:pPr>
        <w:rPr>
          <w:rFonts w:ascii="Times New Roman" w:hAnsi="Times New Roman" w:cs="Times New Roman"/>
          <w:sz w:val="24"/>
          <w:szCs w:val="24"/>
        </w:rPr>
      </w:pPr>
      <w:r w:rsidRPr="00224EF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="007F45FF" w:rsidRPr="00BF4709">
        <w:rPr>
          <w:rFonts w:ascii="Times New Roman" w:hAnsi="Times New Roman" w:cs="Times New Roman"/>
          <w:sz w:val="24"/>
          <w:szCs w:val="24"/>
        </w:rPr>
        <w:t>KAYNAKLAR</w:t>
      </w:r>
    </w:p>
    <w:p w:rsidR="007F45FF" w:rsidRDefault="007F45FF">
      <w:r>
        <w:t xml:space="preserve">Erol, İ. 2007.Gıda Hijyeni ve Mikrobiyolojisi. Pozitif Matbaacılık </w:t>
      </w:r>
      <w:proofErr w:type="spellStart"/>
      <w:r>
        <w:t>Ltd.Şti</w:t>
      </w:r>
      <w:proofErr w:type="spellEnd"/>
      <w:r>
        <w:t xml:space="preserve">. Ankara. </w:t>
      </w:r>
    </w:p>
    <w:p w:rsidR="007F45FF" w:rsidRDefault="007F45FF">
      <w:proofErr w:type="spellStart"/>
      <w:r>
        <w:t>Smulders</w:t>
      </w:r>
      <w:proofErr w:type="spellEnd"/>
      <w:r>
        <w:t xml:space="preserve">, E.J.M.1987. </w:t>
      </w:r>
      <w:proofErr w:type="spellStart"/>
      <w:r>
        <w:t>Elimination</w:t>
      </w:r>
      <w:proofErr w:type="spellEnd"/>
      <w:r>
        <w:t xml:space="preserve"> of </w:t>
      </w:r>
      <w:proofErr w:type="spellStart"/>
      <w:r>
        <w:t>pathogenic</w:t>
      </w:r>
      <w:proofErr w:type="spellEnd"/>
      <w:r>
        <w:t xml:space="preserve"> </w:t>
      </w:r>
      <w:proofErr w:type="spellStart"/>
      <w:r>
        <w:t>organisms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poultry</w:t>
      </w:r>
      <w:proofErr w:type="spellEnd"/>
      <w:r>
        <w:t xml:space="preserve">. </w:t>
      </w:r>
      <w:proofErr w:type="spellStart"/>
      <w:r>
        <w:t>Elsevier</w:t>
      </w:r>
      <w:proofErr w:type="spellEnd"/>
      <w:r>
        <w:t xml:space="preserve">-New York </w:t>
      </w:r>
    </w:p>
    <w:p w:rsidR="007F45FF" w:rsidRDefault="007F45FF">
      <w:r>
        <w:t xml:space="preserve">Erkmen, O. 2000. Basic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microbiological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. Gaziantep </w:t>
      </w:r>
    </w:p>
    <w:p w:rsidR="007F45FF" w:rsidRDefault="007F45FF">
      <w:proofErr w:type="spellStart"/>
      <w:r>
        <w:t>Frazier</w:t>
      </w:r>
      <w:proofErr w:type="spellEnd"/>
      <w:r>
        <w:t>, W</w:t>
      </w:r>
      <w:proofErr w:type="gramStart"/>
      <w:r>
        <w:t>.,</w:t>
      </w:r>
      <w:proofErr w:type="gramEnd"/>
      <w:r>
        <w:t xml:space="preserve"> </w:t>
      </w:r>
      <w:proofErr w:type="spellStart"/>
      <w:r>
        <w:t>Westhoff</w:t>
      </w:r>
      <w:proofErr w:type="spellEnd"/>
      <w:r>
        <w:t xml:space="preserve">, D.C. 1988.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Singapore</w:t>
      </w:r>
      <w:proofErr w:type="spellEnd"/>
      <w:r>
        <w:t>. Adams, M.R. 2004.</w:t>
      </w:r>
    </w:p>
    <w:p w:rsidR="007F45FF" w:rsidRDefault="007F45FF"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proofErr w:type="gramStart"/>
      <w:r>
        <w:t>microbiology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 xml:space="preserve">Cambridge :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Harrigan</w:t>
      </w:r>
      <w:proofErr w:type="spellEnd"/>
      <w:r>
        <w:t>, W. F. 1998.</w:t>
      </w:r>
    </w:p>
    <w:p w:rsidR="007F45FF" w:rsidRDefault="007F45FF"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3rd ed. – San </w:t>
      </w:r>
      <w:proofErr w:type="gramStart"/>
      <w:r>
        <w:t xml:space="preserve">Diego : </w:t>
      </w:r>
      <w:proofErr w:type="spellStart"/>
      <w:r>
        <w:t>Academic</w:t>
      </w:r>
      <w:proofErr w:type="spellEnd"/>
      <w:proofErr w:type="gramEnd"/>
      <w:r>
        <w:t xml:space="preserve"> Pres. </w:t>
      </w:r>
      <w:proofErr w:type="spellStart"/>
      <w:r>
        <w:t>Blackburne</w:t>
      </w:r>
      <w:proofErr w:type="spellEnd"/>
      <w:r>
        <w:t>, C.W</w:t>
      </w:r>
      <w:proofErr w:type="gramStart"/>
      <w:r>
        <w:t>.,</w:t>
      </w:r>
      <w:proofErr w:type="gramEnd"/>
      <w:r>
        <w:t xml:space="preserve"> </w:t>
      </w:r>
      <w:proofErr w:type="spellStart"/>
      <w:r>
        <w:t>McClure</w:t>
      </w:r>
      <w:proofErr w:type="spellEnd"/>
      <w:r>
        <w:t>, P.J. 2002.</w:t>
      </w:r>
    </w:p>
    <w:p w:rsidR="007F45FF" w:rsidRPr="007F45FF" w:rsidRDefault="007F45FF">
      <w:r>
        <w:t xml:space="preserve"> </w:t>
      </w:r>
      <w:proofErr w:type="spellStart"/>
      <w:r>
        <w:t>Foodborne</w:t>
      </w:r>
      <w:proofErr w:type="spellEnd"/>
      <w:r>
        <w:t xml:space="preserve"> </w:t>
      </w:r>
      <w:proofErr w:type="spellStart"/>
      <w:r>
        <w:t>Pathogens</w:t>
      </w:r>
      <w:proofErr w:type="spellEnd"/>
      <w:r>
        <w:t xml:space="preserve">: </w:t>
      </w:r>
      <w:proofErr w:type="spellStart"/>
      <w:r>
        <w:t>hazards</w:t>
      </w:r>
      <w:proofErr w:type="spellEnd"/>
      <w:r>
        <w:t xml:space="preserve">, risk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. CRC </w:t>
      </w:r>
      <w:proofErr w:type="spellStart"/>
      <w:r>
        <w:t>Press</w:t>
      </w:r>
      <w:proofErr w:type="spellEnd"/>
      <w:r>
        <w:t xml:space="preserve">, Boca </w:t>
      </w:r>
      <w:proofErr w:type="spellStart"/>
      <w:r>
        <w:t>Raton</w:t>
      </w:r>
      <w:proofErr w:type="spellEnd"/>
      <w:r>
        <w:t>, Boston, New York, Washington, DC</w:t>
      </w:r>
    </w:p>
    <w:sectPr w:rsidR="007F45FF" w:rsidRPr="007F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120325"/>
    <w:multiLevelType w:val="singleLevel"/>
    <w:tmpl w:val="BE04372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517130A9"/>
    <w:multiLevelType w:val="singleLevel"/>
    <w:tmpl w:val="EE024C98"/>
    <w:lvl w:ilvl="0">
      <w:start w:val="3"/>
      <w:numFmt w:val="upperLetter"/>
      <w:lvlText w:val="%1.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3">
    <w:nsid w:val="5626310D"/>
    <w:multiLevelType w:val="singleLevel"/>
    <w:tmpl w:val="EE024C98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FF"/>
    <w:rsid w:val="00046ACE"/>
    <w:rsid w:val="0013597D"/>
    <w:rsid w:val="001B3D40"/>
    <w:rsid w:val="00224EFA"/>
    <w:rsid w:val="002968BB"/>
    <w:rsid w:val="002E4F71"/>
    <w:rsid w:val="00374828"/>
    <w:rsid w:val="00437CFE"/>
    <w:rsid w:val="00476621"/>
    <w:rsid w:val="005412D4"/>
    <w:rsid w:val="00553D38"/>
    <w:rsid w:val="005D0F2C"/>
    <w:rsid w:val="005E009C"/>
    <w:rsid w:val="006F2109"/>
    <w:rsid w:val="007F45FF"/>
    <w:rsid w:val="00810B57"/>
    <w:rsid w:val="00B31667"/>
    <w:rsid w:val="00BB4795"/>
    <w:rsid w:val="00BF4709"/>
    <w:rsid w:val="00C72594"/>
    <w:rsid w:val="00C86D59"/>
    <w:rsid w:val="00C86E3D"/>
    <w:rsid w:val="00CB5C8C"/>
    <w:rsid w:val="00CC1AF2"/>
    <w:rsid w:val="00D10166"/>
    <w:rsid w:val="00E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3</cp:revision>
  <dcterms:created xsi:type="dcterms:W3CDTF">2020-03-18T07:04:00Z</dcterms:created>
  <dcterms:modified xsi:type="dcterms:W3CDTF">2020-03-18T07:05:00Z</dcterms:modified>
</cp:coreProperties>
</file>