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59" w:rsidRDefault="001C3A59" w:rsidP="001C3A59">
      <w:pPr>
        <w:shd w:val="clear" w:color="auto" w:fill="FFFFFF"/>
        <w:spacing w:after="100" w:afterAutospacing="1" w:line="360" w:lineRule="auto"/>
        <w:ind w:firstLine="502"/>
        <w:jc w:val="center"/>
        <w:rPr>
          <w:rFonts w:eastAsia="Times New Roman" w:cs="Arial"/>
          <w:sz w:val="24"/>
          <w:szCs w:val="24"/>
          <w:shd w:val="clear" w:color="auto" w:fill="FFFFFF"/>
          <w:lang w:eastAsia="tr-TR"/>
        </w:rPr>
      </w:pPr>
      <w:r>
        <w:rPr>
          <w:rFonts w:eastAsia="Times New Roman" w:cs="Arial"/>
          <w:sz w:val="24"/>
          <w:szCs w:val="24"/>
          <w:shd w:val="clear" w:color="auto" w:fill="FFFFFF"/>
          <w:lang w:eastAsia="tr-TR"/>
        </w:rPr>
        <w:t>PULUN ÖZELLİKLERİ</w:t>
      </w:r>
    </w:p>
    <w:p w:rsidR="0027308F" w:rsidRDefault="0027308F" w:rsidP="0027308F">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Pul kelimesi genel olarak posta pulu yerine kullanılmaktadır. Posta pulu, genel ifadesiyle, posta idareleri tarafından taşınan bir gönderinin yerine ulaşması için gönderici tarafından alınarak yapıştırılan küçük, farklı şekillerdeki </w:t>
      </w:r>
      <w:proofErr w:type="gramStart"/>
      <w:r w:rsidRPr="00DD18F3">
        <w:rPr>
          <w:rFonts w:eastAsia="Times New Roman" w:cs="Arial"/>
          <w:sz w:val="24"/>
          <w:szCs w:val="24"/>
          <w:lang w:eastAsia="tr-TR"/>
        </w:rPr>
        <w:t>kağıt</w:t>
      </w:r>
      <w:proofErr w:type="gramEnd"/>
      <w:r w:rsidRPr="00DD18F3">
        <w:rPr>
          <w:rFonts w:eastAsia="Times New Roman" w:cs="Arial"/>
          <w:sz w:val="24"/>
          <w:szCs w:val="24"/>
          <w:lang w:eastAsia="tr-TR"/>
        </w:rPr>
        <w:t xml:space="preserve"> parçalarıdır. Posta pulu gönderinin taşıma ücretinin gönderici tarafından ödenmesini sağlar.</w:t>
      </w:r>
    </w:p>
    <w:p w:rsidR="0027308F" w:rsidRPr="001C3A59" w:rsidRDefault="001C3A59" w:rsidP="0027308F">
      <w:pPr>
        <w:shd w:val="clear" w:color="auto" w:fill="FFFFFF"/>
        <w:spacing w:after="100" w:afterAutospacing="1" w:line="360" w:lineRule="auto"/>
        <w:ind w:firstLine="502"/>
        <w:jc w:val="both"/>
        <w:rPr>
          <w:rFonts w:eastAsia="Times New Roman" w:cs="Arial"/>
          <w:sz w:val="24"/>
          <w:szCs w:val="24"/>
          <w:lang w:eastAsia="tr-TR"/>
        </w:rPr>
      </w:pPr>
      <w:r>
        <w:rPr>
          <w:rFonts w:eastAsia="Times New Roman" w:cs="Arial"/>
          <w:sz w:val="24"/>
          <w:szCs w:val="24"/>
          <w:lang w:eastAsia="tr-TR"/>
        </w:rPr>
        <w:t>Türk Dil Kurumu’na göre pul; p</w:t>
      </w:r>
      <w:r w:rsidR="0027308F" w:rsidRPr="001C3A59">
        <w:rPr>
          <w:rFonts w:eastAsia="Times New Roman" w:cs="Arial"/>
          <w:sz w:val="24"/>
          <w:szCs w:val="24"/>
          <w:lang w:eastAsia="tr-TR"/>
        </w:rPr>
        <w:t>osta parası karşılığı mektup zarfı, kartpostallara ve damga resmine karşılık kâğıtlara yapıştırı</w:t>
      </w:r>
      <w:r>
        <w:rPr>
          <w:rFonts w:eastAsia="Times New Roman" w:cs="Arial"/>
          <w:sz w:val="24"/>
          <w:szCs w:val="24"/>
          <w:lang w:eastAsia="tr-TR"/>
        </w:rPr>
        <w:t xml:space="preserve">lan, basılı küçük kâğıt parçası, </w:t>
      </w:r>
      <w:r w:rsidR="0027308F" w:rsidRPr="001C3A59">
        <w:rPr>
          <w:rFonts w:eastAsia="Times New Roman" w:cs="Arial"/>
          <w:sz w:val="24"/>
          <w:szCs w:val="24"/>
          <w:lang w:eastAsia="tr-TR"/>
        </w:rPr>
        <w:t xml:space="preserve">Posta ile gönderilen şeylere yapıştırılan </w:t>
      </w:r>
      <w:r>
        <w:rPr>
          <w:rFonts w:eastAsia="Times New Roman" w:cs="Arial"/>
          <w:sz w:val="24"/>
          <w:szCs w:val="24"/>
          <w:lang w:eastAsia="tr-TR"/>
        </w:rPr>
        <w:t>ve para karşılığında alınan pul olarak tanımlanmaktadır.</w:t>
      </w:r>
    </w:p>
    <w:p w:rsidR="0027308F" w:rsidRPr="00DD18F3" w:rsidRDefault="0027308F" w:rsidP="0027308F">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Posta pulları yalnız devletlerin posta idareleri tarafından ve devlet adına basıldığı için aynı zamanda tıpkı bayrak, marş, para gibi bir egemenlik ve bağımsızlık sembolüdür. Pullar devletçe basılan ve kabul edilen değerli </w:t>
      </w:r>
      <w:proofErr w:type="gramStart"/>
      <w:r w:rsidRPr="00DD18F3">
        <w:rPr>
          <w:rFonts w:eastAsia="Times New Roman" w:cs="Arial"/>
          <w:sz w:val="24"/>
          <w:szCs w:val="24"/>
          <w:lang w:eastAsia="tr-TR"/>
        </w:rPr>
        <w:t>kağıt</w:t>
      </w:r>
      <w:proofErr w:type="gramEnd"/>
      <w:r w:rsidRPr="00DD18F3">
        <w:rPr>
          <w:rFonts w:eastAsia="Times New Roman" w:cs="Arial"/>
          <w:sz w:val="24"/>
          <w:szCs w:val="24"/>
          <w:lang w:eastAsia="tr-TR"/>
        </w:rPr>
        <w:t xml:space="preserve"> statüsündedir.</w:t>
      </w:r>
    </w:p>
    <w:p w:rsidR="002E7796" w:rsidRDefault="0027308F" w:rsidP="0027308F">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Bir pulun üzerinde genel olarak 4 husus yer alır:</w:t>
      </w:r>
    </w:p>
    <w:p w:rsidR="002E7796" w:rsidRDefault="0027308F" w:rsidP="0027308F">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 1- Ülke adı</w:t>
      </w:r>
    </w:p>
    <w:p w:rsidR="002E7796" w:rsidRDefault="0027308F" w:rsidP="0027308F">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 2- Nominal değeri</w:t>
      </w:r>
    </w:p>
    <w:p w:rsidR="002E7796" w:rsidRDefault="0027308F" w:rsidP="0027308F">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 3- Görsel tasarım</w:t>
      </w:r>
    </w:p>
    <w:p w:rsidR="0027308F" w:rsidRDefault="0027308F" w:rsidP="0027308F">
      <w:pPr>
        <w:shd w:val="clear" w:color="auto" w:fill="FFFFFF"/>
        <w:spacing w:after="100" w:afterAutospacing="1" w:line="360" w:lineRule="auto"/>
        <w:ind w:firstLine="502"/>
        <w:jc w:val="both"/>
        <w:rPr>
          <w:rFonts w:eastAsia="Times New Roman" w:cs="Arial"/>
          <w:sz w:val="24"/>
          <w:szCs w:val="24"/>
          <w:lang w:eastAsia="tr-TR"/>
        </w:rPr>
      </w:pPr>
      <w:r w:rsidRPr="00DD18F3">
        <w:rPr>
          <w:rFonts w:eastAsia="Times New Roman" w:cs="Arial"/>
          <w:sz w:val="24"/>
          <w:szCs w:val="24"/>
          <w:lang w:eastAsia="tr-TR"/>
        </w:rPr>
        <w:t xml:space="preserve"> 4- Emisyon yılı</w:t>
      </w:r>
    </w:p>
    <w:p w:rsidR="0027308F" w:rsidRDefault="0027308F" w:rsidP="00E1477C">
      <w:pPr>
        <w:shd w:val="clear" w:color="auto" w:fill="FFFFFF"/>
        <w:spacing w:after="100" w:afterAutospacing="1" w:line="360" w:lineRule="auto"/>
        <w:ind w:firstLine="502"/>
        <w:jc w:val="center"/>
        <w:rPr>
          <w:rFonts w:eastAsia="Times New Roman" w:cs="Arial"/>
          <w:sz w:val="24"/>
          <w:szCs w:val="24"/>
          <w:lang w:eastAsia="tr-TR"/>
        </w:rPr>
      </w:pPr>
      <w:r>
        <w:rPr>
          <w:rFonts w:eastAsia="Times New Roman" w:cs="Arial"/>
          <w:sz w:val="24"/>
          <w:szCs w:val="24"/>
          <w:lang w:eastAsia="tr-TR"/>
        </w:rPr>
        <w:t>KAYNAKLAR</w:t>
      </w:r>
    </w:p>
    <w:p w:rsidR="00D96E5F" w:rsidRDefault="00D96E5F" w:rsidP="0027308F">
      <w:pPr>
        <w:shd w:val="clear" w:color="auto" w:fill="FFFFFF"/>
        <w:spacing w:after="100" w:afterAutospacing="1" w:line="360" w:lineRule="auto"/>
        <w:ind w:firstLine="502"/>
        <w:jc w:val="both"/>
        <w:rPr>
          <w:rFonts w:eastAsia="Times New Roman" w:cs="Arial"/>
          <w:sz w:val="24"/>
          <w:szCs w:val="24"/>
          <w:lang w:eastAsia="tr-TR"/>
        </w:rPr>
      </w:pPr>
      <w:r w:rsidRPr="00E57E62">
        <w:rPr>
          <w:rFonts w:ascii="Times New Roman" w:hAnsi="Times New Roman" w:cs="Times New Roman"/>
          <w:sz w:val="24"/>
          <w:szCs w:val="24"/>
        </w:rPr>
        <w:t xml:space="preserve">Türk Dil Kurumu, </w:t>
      </w:r>
      <w:r w:rsidRPr="00E57E62">
        <w:rPr>
          <w:rFonts w:ascii="Times New Roman" w:hAnsi="Times New Roman" w:cs="Times New Roman"/>
          <w:b/>
          <w:bCs/>
          <w:i/>
          <w:iCs/>
          <w:sz w:val="24"/>
          <w:szCs w:val="24"/>
        </w:rPr>
        <w:t>Güncel Türkçe Sözlük</w:t>
      </w:r>
      <w:r w:rsidRPr="00E57E62">
        <w:rPr>
          <w:rFonts w:ascii="Times New Roman" w:hAnsi="Times New Roman" w:cs="Times New Roman"/>
          <w:sz w:val="24"/>
          <w:szCs w:val="24"/>
        </w:rPr>
        <w:t xml:space="preserve">. (Erişim) http://www.tdk.gov.tr, </w:t>
      </w:r>
      <w:r>
        <w:rPr>
          <w:rFonts w:ascii="Times New Roman" w:hAnsi="Times New Roman" w:cs="Times New Roman"/>
          <w:sz w:val="24"/>
          <w:szCs w:val="24"/>
        </w:rPr>
        <w:t>12.01.2020</w:t>
      </w:r>
      <w:r w:rsidRPr="00E57E62">
        <w:rPr>
          <w:rFonts w:ascii="Times New Roman" w:hAnsi="Times New Roman" w:cs="Times New Roman"/>
          <w:sz w:val="24"/>
          <w:szCs w:val="24"/>
        </w:rPr>
        <w:t>.</w:t>
      </w:r>
    </w:p>
    <w:p w:rsidR="0027308F" w:rsidRDefault="00006ABA" w:rsidP="0027308F">
      <w:pPr>
        <w:shd w:val="clear" w:color="auto" w:fill="FFFFFF"/>
        <w:spacing w:after="100" w:afterAutospacing="1" w:line="360" w:lineRule="auto"/>
        <w:ind w:firstLine="502"/>
        <w:jc w:val="both"/>
      </w:pPr>
      <w:hyperlink r:id="rId4" w:history="1">
        <w:r w:rsidR="0027308F">
          <w:rPr>
            <w:rStyle w:val="Kpr"/>
          </w:rPr>
          <w:t>https://www.filateli.gov.tr/main?a1=e1b7a3cd7edb1c1859b940fd5741c09871fa0e2b0c58f58c092e274bf8009d84447ed496942ce099998cffc8165d9a72c09973c159aa81b2b3df8a935aa61956</w:t>
        </w:r>
      </w:hyperlink>
      <w:r w:rsidR="0027308F">
        <w:t xml:space="preserve"> , (Erişim </w:t>
      </w:r>
      <w:proofErr w:type="gramStart"/>
      <w:r w:rsidR="0027308F">
        <w:t>Tarihi : 12</w:t>
      </w:r>
      <w:proofErr w:type="gramEnd"/>
      <w:r w:rsidR="0027308F">
        <w:t>.01.2020)</w:t>
      </w:r>
    </w:p>
    <w:p w:rsidR="0027308F" w:rsidRPr="00DD18F3" w:rsidRDefault="0027308F" w:rsidP="0027308F">
      <w:pPr>
        <w:shd w:val="clear" w:color="auto" w:fill="FFFFFF"/>
        <w:spacing w:after="100" w:afterAutospacing="1" w:line="360" w:lineRule="auto"/>
        <w:ind w:firstLine="502"/>
        <w:jc w:val="both"/>
        <w:rPr>
          <w:rFonts w:eastAsia="Times New Roman" w:cs="Arial"/>
          <w:sz w:val="24"/>
          <w:szCs w:val="24"/>
          <w:lang w:eastAsia="tr-TR"/>
        </w:rPr>
      </w:pPr>
    </w:p>
    <w:p w:rsidR="00EA1093" w:rsidRDefault="00EA1093"/>
    <w:sectPr w:rsidR="00EA1093" w:rsidSect="00EA1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7308F"/>
    <w:rsid w:val="00006ABA"/>
    <w:rsid w:val="00023F97"/>
    <w:rsid w:val="001C3A59"/>
    <w:rsid w:val="00220275"/>
    <w:rsid w:val="0027308F"/>
    <w:rsid w:val="002E7796"/>
    <w:rsid w:val="004B1695"/>
    <w:rsid w:val="00D03757"/>
    <w:rsid w:val="00D96E5F"/>
    <w:rsid w:val="00E1477C"/>
    <w:rsid w:val="00EA1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8F"/>
  </w:style>
  <w:style w:type="paragraph" w:styleId="Balk1">
    <w:name w:val="heading 1"/>
    <w:basedOn w:val="Normal"/>
    <w:next w:val="Normal"/>
    <w:link w:val="Balk1Char"/>
    <w:uiPriority w:val="9"/>
    <w:qFormat/>
    <w:rsid w:val="004B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95"/>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4B1695"/>
    <w:pPr>
      <w:ind w:left="720"/>
      <w:contextualSpacing/>
    </w:pPr>
  </w:style>
  <w:style w:type="character" w:styleId="Kpr">
    <w:name w:val="Hyperlink"/>
    <w:basedOn w:val="VarsaylanParagrafYazTipi"/>
    <w:uiPriority w:val="99"/>
    <w:semiHidden/>
    <w:unhideWhenUsed/>
    <w:rsid w:val="002730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lateli.gov.tr/main?a1=e1b7a3cd7edb1c1859b940fd5741c09871fa0e2b0c58f58c092e274bf8009d84447ed496942ce099998cffc8165d9a72c09973c159aa81b2b3df8a935aa6195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2020-01-12T13:44:00Z</dcterms:created>
  <dcterms:modified xsi:type="dcterms:W3CDTF">2020-01-13T05:28:00Z</dcterms:modified>
</cp:coreProperties>
</file>